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00D6" w14:textId="73A84867" w:rsidR="0081585E" w:rsidRDefault="0081585E" w:rsidP="0081585E">
      <w:pPr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noProof/>
          <w:sz w:val="24"/>
          <w:szCs w:val="24"/>
        </w:rPr>
        <w:drawing>
          <wp:inline distT="0" distB="0" distL="0" distR="0" wp14:anchorId="22D58E9E" wp14:editId="3E162C24">
            <wp:extent cx="3876675" cy="695325"/>
            <wp:effectExtent l="0" t="0" r="9525" b="9525"/>
            <wp:docPr id="1" name="Picture 1" descr="cid:image001.png@01D584F5.DC26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4F5.DC2629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0FD8" w14:textId="62912787" w:rsidR="0081585E" w:rsidRPr="0081585E" w:rsidRDefault="00F65069" w:rsidP="0081585E">
      <w:pPr>
        <w:jc w:val="center"/>
        <w:rPr>
          <w:rFonts w:ascii="Arial Black" w:hAnsi="Arial Black" w:cs="Calibri"/>
          <w:b/>
          <w:bCs/>
          <w:color w:val="203864"/>
          <w:sz w:val="18"/>
          <w:szCs w:val="18"/>
        </w:rPr>
      </w:pPr>
      <w:r>
        <w:rPr>
          <w:rFonts w:ascii="Arial Black" w:hAnsi="Arial Black"/>
          <w:b/>
          <w:bCs/>
          <w:color w:val="203864"/>
          <w:sz w:val="18"/>
          <w:szCs w:val="18"/>
        </w:rPr>
        <w:t xml:space="preserve">NJDOH </w:t>
      </w:r>
      <w:r w:rsidR="0081585E" w:rsidRPr="0081585E">
        <w:rPr>
          <w:rFonts w:ascii="Arial Black" w:hAnsi="Arial Black"/>
          <w:b/>
          <w:bCs/>
          <w:color w:val="203864"/>
          <w:sz w:val="18"/>
          <w:szCs w:val="18"/>
        </w:rPr>
        <w:t>Office of Local Public Health (OLPH) | New Jersey Public Health Licensure Examination</w:t>
      </w:r>
    </w:p>
    <w:p w14:paraId="308EF0F8" w14:textId="5039C95C" w:rsidR="00D7785D" w:rsidRDefault="00D7785D" w:rsidP="00836D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BF29AA" w14:textId="34E08603" w:rsidR="00AC30F8" w:rsidRPr="00E300C4" w:rsidRDefault="00ED2F97" w:rsidP="00836D27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WHO IS A </w:t>
      </w:r>
      <w:r w:rsidRPr="00E300C4">
        <w:rPr>
          <w:rFonts w:ascii="Arial" w:hAnsi="Arial" w:cs="Arial"/>
          <w:b/>
          <w:color w:val="002060"/>
          <w:sz w:val="24"/>
          <w:szCs w:val="24"/>
        </w:rPr>
        <w:t>HEALTH OFFICER</w:t>
      </w:r>
      <w:r w:rsidR="00E300C4">
        <w:rPr>
          <w:rFonts w:ascii="Arial" w:hAnsi="Arial" w:cs="Arial"/>
          <w:b/>
          <w:color w:val="002060"/>
          <w:sz w:val="24"/>
          <w:szCs w:val="24"/>
        </w:rPr>
        <w:t>?</w:t>
      </w:r>
    </w:p>
    <w:p w14:paraId="1EAE5B37" w14:textId="77777777" w:rsidR="00107E05" w:rsidRDefault="00107E05" w:rsidP="00836D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E1B95" w14:textId="375D1B67" w:rsidR="00AC30F8" w:rsidRDefault="00AC30F8" w:rsidP="00E300C4">
      <w:pPr>
        <w:tabs>
          <w:tab w:val="left" w:pos="270"/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 w:rsidRPr="00C671C1">
        <w:rPr>
          <w:rFonts w:ascii="Arial" w:hAnsi="Arial" w:cs="Arial"/>
        </w:rPr>
        <w:t>A Health Officer is generally the administrative officer of a municipal, regional, county, or contractual health agency. This individual is responsible for evaluating health problems, planning appropriate activities to address these health problems, developing necessary budget procedures to finance these activities, a</w:t>
      </w:r>
      <w:r w:rsidR="00107E05" w:rsidRPr="00C671C1">
        <w:rPr>
          <w:rFonts w:ascii="Arial" w:hAnsi="Arial" w:cs="Arial"/>
        </w:rPr>
        <w:t>nd directing staff to carry ou</w:t>
      </w:r>
      <w:r w:rsidR="00B53653" w:rsidRPr="00C671C1">
        <w:rPr>
          <w:rFonts w:ascii="Arial" w:hAnsi="Arial" w:cs="Arial"/>
        </w:rPr>
        <w:t>t</w:t>
      </w:r>
      <w:r w:rsidR="00107E05" w:rsidRPr="00C671C1">
        <w:rPr>
          <w:rFonts w:ascii="Arial" w:hAnsi="Arial" w:cs="Arial"/>
        </w:rPr>
        <w:t xml:space="preserve"> </w:t>
      </w:r>
      <w:r w:rsidRPr="00C671C1">
        <w:rPr>
          <w:rFonts w:ascii="Arial" w:hAnsi="Arial" w:cs="Arial"/>
        </w:rPr>
        <w:t>these activities efficiently and economically.</w:t>
      </w:r>
      <w:r w:rsidRPr="00C671C1">
        <w:rPr>
          <w:rFonts w:ascii="Arial" w:hAnsi="Arial" w:cs="Arial"/>
        </w:rPr>
        <w:br/>
      </w:r>
    </w:p>
    <w:p w14:paraId="7E0092E4" w14:textId="77777777" w:rsidR="00810E85" w:rsidRPr="00DA20B3" w:rsidRDefault="00810E85" w:rsidP="00810E85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PUBLIC </w:t>
      </w:r>
      <w:r w:rsidRPr="00E300C4">
        <w:rPr>
          <w:rFonts w:ascii="Arial" w:hAnsi="Arial" w:cs="Arial"/>
          <w:b/>
          <w:color w:val="002060"/>
          <w:sz w:val="24"/>
          <w:szCs w:val="24"/>
        </w:rPr>
        <w:t xml:space="preserve">HEALTH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LICENSURE EXAMINATION FOR HEALTH </w:t>
      </w:r>
      <w:r w:rsidRPr="00E300C4">
        <w:rPr>
          <w:rFonts w:ascii="Arial" w:hAnsi="Arial" w:cs="Arial"/>
          <w:b/>
          <w:color w:val="002060"/>
          <w:sz w:val="24"/>
          <w:szCs w:val="24"/>
        </w:rPr>
        <w:t>OFFICER</w:t>
      </w:r>
    </w:p>
    <w:p w14:paraId="09F102AE" w14:textId="77777777" w:rsidR="00810E85" w:rsidRPr="00C671C1" w:rsidRDefault="00810E85" w:rsidP="00E300C4">
      <w:pPr>
        <w:tabs>
          <w:tab w:val="left" w:pos="270"/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46A4EB5C" w14:textId="377186BC" w:rsidR="00AC30F8" w:rsidRPr="00506112" w:rsidRDefault="00AC30F8" w:rsidP="00E300C4">
      <w:pPr>
        <w:tabs>
          <w:tab w:val="left" w:pos="270"/>
          <w:tab w:val="left" w:pos="720"/>
        </w:tabs>
        <w:spacing w:after="0" w:line="240" w:lineRule="auto"/>
        <w:jc w:val="both"/>
        <w:rPr>
          <w:rFonts w:ascii="Arial" w:hAnsi="Arial" w:cs="Arial"/>
          <w:color w:val="002060"/>
        </w:rPr>
      </w:pPr>
      <w:r w:rsidRPr="00506112">
        <w:rPr>
          <w:rFonts w:ascii="Arial" w:hAnsi="Arial" w:cs="Arial"/>
          <w:color w:val="002060"/>
        </w:rPr>
        <w:t xml:space="preserve">The </w:t>
      </w:r>
      <w:r w:rsidRPr="00506112">
        <w:rPr>
          <w:rFonts w:ascii="Arial" w:hAnsi="Arial" w:cs="Arial"/>
          <w:b/>
          <w:bCs/>
          <w:color w:val="002060"/>
        </w:rPr>
        <w:t>minimum</w:t>
      </w:r>
      <w:r w:rsidRPr="00506112">
        <w:rPr>
          <w:rFonts w:ascii="Arial" w:hAnsi="Arial" w:cs="Arial"/>
          <w:color w:val="002060"/>
        </w:rPr>
        <w:t xml:space="preserve"> qualifications to be admitted to the Health Officer examination </w:t>
      </w:r>
      <w:r w:rsidR="00DE2B05">
        <w:rPr>
          <w:rFonts w:ascii="Arial" w:hAnsi="Arial" w:cs="Arial"/>
          <w:color w:val="002060"/>
        </w:rPr>
        <w:t xml:space="preserve">in New Jersey </w:t>
      </w:r>
      <w:r w:rsidRPr="00506112">
        <w:rPr>
          <w:rFonts w:ascii="Arial" w:hAnsi="Arial" w:cs="Arial"/>
          <w:color w:val="002060"/>
        </w:rPr>
        <w:t>are as follow</w:t>
      </w:r>
      <w:r w:rsidR="00DE2B05">
        <w:rPr>
          <w:rFonts w:ascii="Arial" w:hAnsi="Arial" w:cs="Arial"/>
          <w:color w:val="002060"/>
        </w:rPr>
        <w:t>s</w:t>
      </w:r>
      <w:r w:rsidRPr="00506112">
        <w:rPr>
          <w:rFonts w:ascii="Arial" w:hAnsi="Arial" w:cs="Arial"/>
          <w:color w:val="002060"/>
        </w:rPr>
        <w:t xml:space="preserve">: </w:t>
      </w:r>
    </w:p>
    <w:p w14:paraId="3FE60628" w14:textId="77AE94F5" w:rsidR="00FF1039" w:rsidRPr="00C671C1" w:rsidRDefault="00FF1039" w:rsidP="00E300C4">
      <w:pPr>
        <w:tabs>
          <w:tab w:val="left" w:pos="270"/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14:paraId="36624CCB" w14:textId="0108F417" w:rsidR="00FF1039" w:rsidRPr="001A7A9F" w:rsidRDefault="00FF1039" w:rsidP="0049245D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A7A9F">
        <w:rPr>
          <w:rFonts w:ascii="Arial" w:hAnsi="Arial" w:cs="Arial"/>
        </w:rPr>
        <w:t xml:space="preserve">hold a doctorate or a </w:t>
      </w:r>
      <w:r w:rsidR="00AC30F8" w:rsidRPr="001A7A9F">
        <w:rPr>
          <w:rFonts w:ascii="Arial" w:hAnsi="Arial" w:cs="Arial"/>
        </w:rPr>
        <w:t xml:space="preserve">masters degree from an accredited college or university which is recognized by the </w:t>
      </w:r>
      <w:bookmarkStart w:id="0" w:name="_Hlk51140776"/>
      <w:r w:rsidR="00FE6077" w:rsidRPr="001A7A9F">
        <w:rPr>
          <w:rFonts w:ascii="Arial" w:hAnsi="Arial" w:cs="Arial"/>
        </w:rPr>
        <w:t xml:space="preserve">Office of the Secretary of Higher Education </w:t>
      </w:r>
      <w:bookmarkEnd w:id="0"/>
      <w:r w:rsidR="00AC30F8" w:rsidRPr="001A7A9F">
        <w:rPr>
          <w:rFonts w:ascii="Arial" w:hAnsi="Arial" w:cs="Arial"/>
        </w:rPr>
        <w:t>in a health-related field such as public health, environmental science, health administration, social work, nursing, health education o</w:t>
      </w:r>
      <w:r w:rsidRPr="001A7A9F">
        <w:rPr>
          <w:rFonts w:ascii="Arial" w:hAnsi="Arial" w:cs="Arial"/>
        </w:rPr>
        <w:t xml:space="preserve">r hold a doctor of medicine, a </w:t>
      </w:r>
      <w:r w:rsidR="00AC30F8" w:rsidRPr="001A7A9F">
        <w:rPr>
          <w:rFonts w:ascii="Arial" w:hAnsi="Arial" w:cs="Arial"/>
        </w:rPr>
        <w:t xml:space="preserve">doctor of osteopathy, or a doctor of veterinary medicine from an accredited medical, osteopathic, or veterinary school, respectively. The </w:t>
      </w:r>
      <w:r w:rsidR="00D15DF5">
        <w:rPr>
          <w:rFonts w:ascii="Arial" w:hAnsi="Arial" w:cs="Arial"/>
        </w:rPr>
        <w:t xml:space="preserve">core </w:t>
      </w:r>
      <w:r w:rsidR="00AC30F8" w:rsidRPr="001A7A9F">
        <w:rPr>
          <w:rFonts w:ascii="Arial" w:hAnsi="Arial" w:cs="Arial"/>
        </w:rPr>
        <w:t>course work for the above-referenced degrees shall include or be supplemented by at least three (3) credit hours in each of the following areas: (a) planning</w:t>
      </w:r>
      <w:r w:rsidR="001275E5">
        <w:rPr>
          <w:rFonts w:ascii="Arial" w:hAnsi="Arial" w:cs="Arial"/>
        </w:rPr>
        <w:t>;</w:t>
      </w:r>
      <w:r w:rsidR="00AC30F8" w:rsidRPr="001A7A9F">
        <w:rPr>
          <w:rFonts w:ascii="Arial" w:hAnsi="Arial" w:cs="Arial"/>
        </w:rPr>
        <w:t xml:space="preserve"> (b) administration</w:t>
      </w:r>
      <w:r w:rsidR="001275E5">
        <w:rPr>
          <w:rFonts w:ascii="Arial" w:hAnsi="Arial" w:cs="Arial"/>
        </w:rPr>
        <w:t>;</w:t>
      </w:r>
      <w:r w:rsidR="00AC30F8" w:rsidRPr="001A7A9F">
        <w:rPr>
          <w:rFonts w:ascii="Arial" w:hAnsi="Arial" w:cs="Arial"/>
        </w:rPr>
        <w:t xml:space="preserve"> (c) environmental science</w:t>
      </w:r>
      <w:r w:rsidR="001275E5">
        <w:rPr>
          <w:rFonts w:ascii="Arial" w:hAnsi="Arial" w:cs="Arial"/>
        </w:rPr>
        <w:t>;</w:t>
      </w:r>
      <w:r w:rsidR="00AC30F8" w:rsidRPr="001A7A9F">
        <w:rPr>
          <w:rFonts w:ascii="Arial" w:hAnsi="Arial" w:cs="Arial"/>
        </w:rPr>
        <w:t xml:space="preserve"> (d) social science</w:t>
      </w:r>
      <w:r w:rsidR="001275E5">
        <w:rPr>
          <w:rFonts w:ascii="Arial" w:hAnsi="Arial" w:cs="Arial"/>
        </w:rPr>
        <w:t>;</w:t>
      </w:r>
      <w:r w:rsidR="00AC30F8" w:rsidRPr="001A7A9F">
        <w:rPr>
          <w:rFonts w:ascii="Arial" w:hAnsi="Arial" w:cs="Arial"/>
        </w:rPr>
        <w:t xml:space="preserve"> (e) </w:t>
      </w:r>
      <w:r w:rsidR="0021068A">
        <w:rPr>
          <w:rFonts w:ascii="Arial" w:hAnsi="Arial" w:cs="Arial"/>
        </w:rPr>
        <w:t xml:space="preserve">biostatistics / </w:t>
      </w:r>
      <w:r w:rsidR="00AC30F8" w:rsidRPr="001A7A9F">
        <w:rPr>
          <w:rFonts w:ascii="Arial" w:hAnsi="Arial" w:cs="Arial"/>
        </w:rPr>
        <w:t>statistics</w:t>
      </w:r>
      <w:r w:rsidR="0021068A">
        <w:rPr>
          <w:rFonts w:ascii="Arial" w:hAnsi="Arial" w:cs="Arial"/>
        </w:rPr>
        <w:t>;</w:t>
      </w:r>
      <w:r w:rsidR="00AC30F8" w:rsidRPr="001A7A9F">
        <w:rPr>
          <w:rFonts w:ascii="Arial" w:hAnsi="Arial" w:cs="Arial"/>
        </w:rPr>
        <w:t xml:space="preserve"> and</w:t>
      </w:r>
      <w:r w:rsidR="0021068A">
        <w:rPr>
          <w:rFonts w:ascii="Arial" w:hAnsi="Arial" w:cs="Arial"/>
        </w:rPr>
        <w:t>,</w:t>
      </w:r>
      <w:r w:rsidR="00AC30F8" w:rsidRPr="001A7A9F">
        <w:rPr>
          <w:rFonts w:ascii="Arial" w:hAnsi="Arial" w:cs="Arial"/>
        </w:rPr>
        <w:t xml:space="preserve"> (f) epidemiology</w:t>
      </w:r>
      <w:r w:rsidR="009849EF">
        <w:rPr>
          <w:rFonts w:ascii="Arial" w:hAnsi="Arial" w:cs="Arial"/>
        </w:rPr>
        <w:t xml:space="preserve"> at the undergraduate, junior or senior level</w:t>
      </w:r>
      <w:r w:rsidR="00AC30F8" w:rsidRPr="001A7A9F">
        <w:rPr>
          <w:rFonts w:ascii="Arial" w:hAnsi="Arial" w:cs="Arial"/>
        </w:rPr>
        <w:t xml:space="preserve">. </w:t>
      </w:r>
      <w:r w:rsidR="00920217">
        <w:rPr>
          <w:rFonts w:ascii="Arial" w:hAnsi="Arial" w:cs="Arial"/>
        </w:rPr>
        <w:t xml:space="preserve">Examination applicants </w:t>
      </w:r>
      <w:r w:rsidR="00AC30F8" w:rsidRPr="001A7A9F">
        <w:rPr>
          <w:rFonts w:ascii="Arial" w:hAnsi="Arial" w:cs="Arial"/>
        </w:rPr>
        <w:t xml:space="preserve">are not permitted to use one course to fulfill the requirements of more than one </w:t>
      </w:r>
      <w:r w:rsidR="00C328DC">
        <w:rPr>
          <w:rFonts w:ascii="Arial" w:hAnsi="Arial" w:cs="Arial"/>
        </w:rPr>
        <w:t>area</w:t>
      </w:r>
      <w:r w:rsidR="00AC30F8" w:rsidRPr="001A7A9F">
        <w:rPr>
          <w:rFonts w:ascii="Arial" w:hAnsi="Arial" w:cs="Arial"/>
        </w:rPr>
        <w:t xml:space="preserve">, </w:t>
      </w:r>
      <w:r w:rsidR="00AC30F8" w:rsidRPr="001A7A9F">
        <w:rPr>
          <w:rFonts w:ascii="Arial" w:hAnsi="Arial" w:cs="Arial"/>
          <w:i/>
          <w:iCs/>
        </w:rPr>
        <w:t>e.g.,</w:t>
      </w:r>
      <w:r w:rsidR="00AC30F8" w:rsidRPr="001A7A9F">
        <w:rPr>
          <w:rFonts w:ascii="Arial" w:hAnsi="Arial" w:cs="Arial"/>
        </w:rPr>
        <w:t> a course in epidemiology can not be used as both an epidemiology course and a statistics course. Courses with grades less than 2.0 (“C”) shall</w:t>
      </w:r>
      <w:r w:rsidR="00423D6B" w:rsidRPr="001A7A9F">
        <w:rPr>
          <w:rFonts w:ascii="Arial" w:hAnsi="Arial" w:cs="Arial"/>
        </w:rPr>
        <w:t xml:space="preserve"> </w:t>
      </w:r>
      <w:r w:rsidR="00AC30F8" w:rsidRPr="001A7A9F">
        <w:rPr>
          <w:rFonts w:ascii="Arial" w:hAnsi="Arial" w:cs="Arial"/>
        </w:rPr>
        <w:t xml:space="preserve">not be considered; </w:t>
      </w:r>
      <w:r w:rsidR="00423D6B" w:rsidRPr="00DF346E">
        <w:rPr>
          <w:rFonts w:ascii="Arial" w:hAnsi="Arial" w:cs="Arial"/>
          <w:b/>
          <w:bCs/>
          <w:color w:val="002060"/>
        </w:rPr>
        <w:t>AND</w:t>
      </w:r>
    </w:p>
    <w:p w14:paraId="7428E986" w14:textId="77777777" w:rsidR="00AC30F8" w:rsidRPr="00C671C1" w:rsidRDefault="00AC30F8" w:rsidP="00E300C4">
      <w:pPr>
        <w:pStyle w:val="ListParagraph"/>
        <w:tabs>
          <w:tab w:val="left" w:pos="180"/>
        </w:tabs>
        <w:spacing w:after="0" w:line="240" w:lineRule="auto"/>
        <w:jc w:val="both"/>
        <w:rPr>
          <w:rFonts w:ascii="Arial" w:hAnsi="Arial" w:cs="Arial"/>
        </w:rPr>
      </w:pPr>
    </w:p>
    <w:p w14:paraId="6093BB74" w14:textId="4E244803" w:rsidR="00FF1039" w:rsidRDefault="00AC30F8" w:rsidP="00E300C4">
      <w:pPr>
        <w:pStyle w:val="ListParagraph"/>
        <w:numPr>
          <w:ilvl w:val="0"/>
          <w:numId w:val="2"/>
        </w:numPr>
        <w:tabs>
          <w:tab w:val="left" w:pos="180"/>
        </w:tabs>
        <w:spacing w:after="0" w:line="240" w:lineRule="auto"/>
        <w:jc w:val="both"/>
        <w:rPr>
          <w:rFonts w:ascii="Arial" w:hAnsi="Arial" w:cs="Arial"/>
        </w:rPr>
      </w:pPr>
      <w:r w:rsidRPr="00C671C1">
        <w:rPr>
          <w:rFonts w:ascii="Arial" w:hAnsi="Arial" w:cs="Arial"/>
        </w:rPr>
        <w:t>satisfactory completion of two (2) years of full-time employment in a position which provides administrative experience in at least three of the five recognized public health activities,</w:t>
      </w:r>
      <w:r w:rsidR="00A757D7">
        <w:rPr>
          <w:rFonts w:ascii="Arial" w:hAnsi="Arial" w:cs="Arial"/>
        </w:rPr>
        <w:t xml:space="preserve"> which include the following: </w:t>
      </w:r>
      <w:r w:rsidRPr="00C671C1">
        <w:rPr>
          <w:rFonts w:ascii="Arial" w:hAnsi="Arial" w:cs="Arial"/>
        </w:rPr>
        <w:t>(a) administrati</w:t>
      </w:r>
      <w:r w:rsidR="00732E43">
        <w:rPr>
          <w:rFonts w:ascii="Arial" w:hAnsi="Arial" w:cs="Arial"/>
        </w:rPr>
        <w:t xml:space="preserve">on and support </w:t>
      </w:r>
      <w:r w:rsidRPr="00C671C1">
        <w:rPr>
          <w:rFonts w:ascii="Arial" w:hAnsi="Arial" w:cs="Arial"/>
        </w:rPr>
        <w:t>services</w:t>
      </w:r>
      <w:r w:rsidR="00732E43">
        <w:rPr>
          <w:rFonts w:ascii="Arial" w:hAnsi="Arial" w:cs="Arial"/>
        </w:rPr>
        <w:t>;</w:t>
      </w:r>
      <w:r w:rsidRPr="00C671C1">
        <w:rPr>
          <w:rFonts w:ascii="Arial" w:hAnsi="Arial" w:cs="Arial"/>
        </w:rPr>
        <w:t xml:space="preserve"> (b) environmental health</w:t>
      </w:r>
      <w:r w:rsidR="00732E43">
        <w:rPr>
          <w:rFonts w:ascii="Arial" w:hAnsi="Arial" w:cs="Arial"/>
        </w:rPr>
        <w:t>;</w:t>
      </w:r>
      <w:r w:rsidRPr="00C671C1">
        <w:rPr>
          <w:rFonts w:ascii="Arial" w:hAnsi="Arial" w:cs="Arial"/>
        </w:rPr>
        <w:t xml:space="preserve"> (c) communicable disease</w:t>
      </w:r>
      <w:r w:rsidR="00732E43">
        <w:rPr>
          <w:rFonts w:ascii="Arial" w:hAnsi="Arial" w:cs="Arial"/>
        </w:rPr>
        <w:t>s;</w:t>
      </w:r>
      <w:r w:rsidRPr="00C671C1">
        <w:rPr>
          <w:rFonts w:ascii="Arial" w:hAnsi="Arial" w:cs="Arial"/>
        </w:rPr>
        <w:t xml:space="preserve"> (d) maternal and child health</w:t>
      </w:r>
      <w:r w:rsidR="00EB61DA">
        <w:rPr>
          <w:rFonts w:ascii="Arial" w:hAnsi="Arial" w:cs="Arial"/>
        </w:rPr>
        <w:t>;</w:t>
      </w:r>
      <w:r w:rsidRPr="00C671C1">
        <w:rPr>
          <w:rFonts w:ascii="Arial" w:hAnsi="Arial" w:cs="Arial"/>
        </w:rPr>
        <w:t xml:space="preserve"> a</w:t>
      </w:r>
      <w:r w:rsidR="00FF1039" w:rsidRPr="00C671C1">
        <w:rPr>
          <w:rFonts w:ascii="Arial" w:hAnsi="Arial" w:cs="Arial"/>
        </w:rPr>
        <w:t>nd</w:t>
      </w:r>
      <w:r w:rsidR="00EB61DA">
        <w:rPr>
          <w:rFonts w:ascii="Arial" w:hAnsi="Arial" w:cs="Arial"/>
        </w:rPr>
        <w:t>,</w:t>
      </w:r>
      <w:r w:rsidR="00FF1039" w:rsidRPr="00C671C1">
        <w:rPr>
          <w:rFonts w:ascii="Arial" w:hAnsi="Arial" w:cs="Arial"/>
        </w:rPr>
        <w:t xml:space="preserve"> (e) </w:t>
      </w:r>
      <w:r w:rsidR="00F30795">
        <w:rPr>
          <w:rFonts w:ascii="Arial" w:hAnsi="Arial" w:cs="Arial"/>
        </w:rPr>
        <w:t>chronic illness</w:t>
      </w:r>
      <w:r w:rsidR="00FF1039" w:rsidRPr="00C671C1">
        <w:rPr>
          <w:rFonts w:ascii="Arial" w:hAnsi="Arial" w:cs="Arial"/>
        </w:rPr>
        <w:t xml:space="preserve">. </w:t>
      </w:r>
      <w:r w:rsidRPr="00C671C1">
        <w:rPr>
          <w:rFonts w:ascii="Arial" w:hAnsi="Arial" w:cs="Arial"/>
        </w:rPr>
        <w:t>"Administrative experience" means work which is performed under minimal supervision requiring initiative, decision-m</w:t>
      </w:r>
      <w:r w:rsidR="00FF1039" w:rsidRPr="00C671C1">
        <w:rPr>
          <w:rFonts w:ascii="Arial" w:hAnsi="Arial" w:cs="Arial"/>
        </w:rPr>
        <w:t>aking, and independent judgment.</w:t>
      </w:r>
    </w:p>
    <w:p w14:paraId="1AA497B8" w14:textId="77777777" w:rsidR="00810E85" w:rsidRDefault="00810E85" w:rsidP="00E300C4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</w:p>
    <w:p w14:paraId="5F720905" w14:textId="3BED5362" w:rsidR="001F7EAF" w:rsidRPr="00C671C1" w:rsidRDefault="00AC30F8" w:rsidP="00E300C4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C671C1">
        <w:rPr>
          <w:rFonts w:ascii="Arial" w:hAnsi="Arial" w:cs="Arial"/>
        </w:rPr>
        <w:t xml:space="preserve">The </w:t>
      </w:r>
      <w:r w:rsidR="002A3146">
        <w:rPr>
          <w:rFonts w:ascii="Arial" w:hAnsi="Arial" w:cs="Arial"/>
        </w:rPr>
        <w:t xml:space="preserve">New Jersey </w:t>
      </w:r>
      <w:r w:rsidRPr="00C671C1">
        <w:rPr>
          <w:rFonts w:ascii="Arial" w:hAnsi="Arial" w:cs="Arial"/>
        </w:rPr>
        <w:t xml:space="preserve">Health Officer examination is comprised of two parts – </w:t>
      </w:r>
      <w:r w:rsidRPr="00C671C1">
        <w:rPr>
          <w:rFonts w:ascii="Arial" w:hAnsi="Arial" w:cs="Arial"/>
          <w:i/>
          <w:iCs/>
        </w:rPr>
        <w:t>Part I</w:t>
      </w:r>
      <w:r w:rsidRPr="00C671C1">
        <w:rPr>
          <w:rFonts w:ascii="Arial" w:hAnsi="Arial" w:cs="Arial"/>
        </w:rPr>
        <w:t> </w:t>
      </w:r>
      <w:r w:rsidR="00F71C93">
        <w:rPr>
          <w:rFonts w:ascii="Arial" w:hAnsi="Arial" w:cs="Arial"/>
        </w:rPr>
        <w:t xml:space="preserve">(90 minutes) </w:t>
      </w:r>
      <w:r w:rsidRPr="00C671C1">
        <w:rPr>
          <w:rFonts w:ascii="Arial" w:hAnsi="Arial" w:cs="Arial"/>
        </w:rPr>
        <w:t xml:space="preserve">which is an inventory of content knowledge using a fixed response format and </w:t>
      </w:r>
      <w:r w:rsidRPr="00C671C1">
        <w:rPr>
          <w:rFonts w:ascii="Arial" w:hAnsi="Arial" w:cs="Arial"/>
          <w:i/>
          <w:iCs/>
        </w:rPr>
        <w:t>Part II</w:t>
      </w:r>
      <w:r w:rsidRPr="00C671C1">
        <w:rPr>
          <w:rFonts w:ascii="Arial" w:hAnsi="Arial" w:cs="Arial"/>
        </w:rPr>
        <w:t> </w:t>
      </w:r>
      <w:r w:rsidR="0052359E">
        <w:rPr>
          <w:rFonts w:ascii="Arial" w:hAnsi="Arial" w:cs="Arial"/>
        </w:rPr>
        <w:t xml:space="preserve">(120 minutes) </w:t>
      </w:r>
      <w:r w:rsidRPr="00C671C1">
        <w:rPr>
          <w:rFonts w:ascii="Arial" w:hAnsi="Arial" w:cs="Arial"/>
        </w:rPr>
        <w:t xml:space="preserve">which is an assessment of conceptual, judgmental, and experiential skills using an open response format. The framework for </w:t>
      </w:r>
      <w:r w:rsidRPr="00C671C1">
        <w:rPr>
          <w:rFonts w:ascii="Arial" w:hAnsi="Arial" w:cs="Arial"/>
          <w:i/>
          <w:iCs/>
        </w:rPr>
        <w:t>Part II</w:t>
      </w:r>
      <w:r w:rsidRPr="00C671C1">
        <w:rPr>
          <w:rFonts w:ascii="Arial" w:hAnsi="Arial" w:cs="Arial"/>
        </w:rPr>
        <w:t xml:space="preserve"> is </w:t>
      </w:r>
      <w:r w:rsidRPr="00C671C1">
        <w:rPr>
          <w:rFonts w:ascii="Arial" w:hAnsi="Arial" w:cs="Arial"/>
          <w:i/>
          <w:iCs/>
        </w:rPr>
        <w:t>The Public Health Workforce: An Agenda for the 21st Century</w:t>
      </w:r>
      <w:r w:rsidRPr="00C671C1">
        <w:rPr>
          <w:rFonts w:ascii="Arial" w:hAnsi="Arial" w:cs="Arial"/>
        </w:rPr>
        <w:t xml:space="preserve"> and </w:t>
      </w:r>
      <w:r w:rsidRPr="00C671C1">
        <w:rPr>
          <w:rFonts w:ascii="Arial" w:hAnsi="Arial" w:cs="Arial"/>
          <w:i/>
          <w:iCs/>
        </w:rPr>
        <w:t>Public Health Practice Standards of Performance for Local Boards of Health in New Jersey, N.J.A.C.</w:t>
      </w:r>
      <w:r w:rsidRPr="00C671C1">
        <w:rPr>
          <w:rFonts w:ascii="Arial" w:hAnsi="Arial" w:cs="Arial"/>
        </w:rPr>
        <w:t xml:space="preserve"> 8:52. </w:t>
      </w:r>
      <w:r w:rsidR="00F23F69">
        <w:rPr>
          <w:rFonts w:ascii="Arial" w:hAnsi="Arial" w:cs="Arial"/>
        </w:rPr>
        <w:t>Examin</w:t>
      </w:r>
      <w:r w:rsidR="00355B4D">
        <w:rPr>
          <w:rFonts w:ascii="Arial" w:hAnsi="Arial" w:cs="Arial"/>
        </w:rPr>
        <w:t>ee</w:t>
      </w:r>
      <w:r w:rsidR="00F23F69">
        <w:rPr>
          <w:rFonts w:ascii="Arial" w:hAnsi="Arial" w:cs="Arial"/>
        </w:rPr>
        <w:t>s</w:t>
      </w:r>
      <w:r w:rsidRPr="00C671C1">
        <w:rPr>
          <w:rFonts w:ascii="Arial" w:hAnsi="Arial" w:cs="Arial"/>
        </w:rPr>
        <w:t xml:space="preserve"> must successfully complete </w:t>
      </w:r>
      <w:r w:rsidRPr="00C671C1">
        <w:rPr>
          <w:rFonts w:ascii="Arial" w:hAnsi="Arial" w:cs="Arial"/>
          <w:i/>
          <w:iCs/>
        </w:rPr>
        <w:t xml:space="preserve">Part I </w:t>
      </w:r>
      <w:r w:rsidRPr="00C671C1">
        <w:rPr>
          <w:rFonts w:ascii="Arial" w:hAnsi="Arial" w:cs="Arial"/>
        </w:rPr>
        <w:t xml:space="preserve">before </w:t>
      </w:r>
      <w:r w:rsidR="00F23F69">
        <w:rPr>
          <w:rFonts w:ascii="Arial" w:hAnsi="Arial" w:cs="Arial"/>
        </w:rPr>
        <w:t>proceeding</w:t>
      </w:r>
      <w:r w:rsidRPr="00C671C1">
        <w:rPr>
          <w:rFonts w:ascii="Arial" w:hAnsi="Arial" w:cs="Arial"/>
        </w:rPr>
        <w:t xml:space="preserve"> to </w:t>
      </w:r>
      <w:r w:rsidRPr="00C671C1">
        <w:rPr>
          <w:rFonts w:ascii="Arial" w:hAnsi="Arial" w:cs="Arial"/>
          <w:i/>
          <w:iCs/>
        </w:rPr>
        <w:t>Part II</w:t>
      </w:r>
      <w:r w:rsidRPr="00C671C1">
        <w:rPr>
          <w:rFonts w:ascii="Arial" w:hAnsi="Arial" w:cs="Arial"/>
        </w:rPr>
        <w:t>.  </w:t>
      </w:r>
    </w:p>
    <w:p w14:paraId="34D10146" w14:textId="77AE94F5" w:rsidR="001F7EAF" w:rsidRPr="00C671C1" w:rsidRDefault="001F7EAF" w:rsidP="00E300C4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</w:p>
    <w:p w14:paraId="7FCBDAC3" w14:textId="33899016" w:rsidR="00045B21" w:rsidRDefault="00660C98" w:rsidP="00327D30">
      <w:pPr>
        <w:pStyle w:val="BodyText"/>
      </w:pPr>
      <w:r>
        <w:t xml:space="preserve">Part I consists of 100 true/false items distributed evenly across the topic areas of management and administration, environmental and occupational health, chronic </w:t>
      </w:r>
      <w:r w:rsidR="006349EF">
        <w:t xml:space="preserve">and disabling </w:t>
      </w:r>
      <w:r>
        <w:t>diseases, and communicable disease</w:t>
      </w:r>
      <w:r w:rsidR="006349EF">
        <w:t>s</w:t>
      </w:r>
      <w:r>
        <w:t>. T</w:t>
      </w:r>
      <w:r w:rsidR="00AC30F8">
        <w:t xml:space="preserve">o pass </w:t>
      </w:r>
      <w:r w:rsidR="00AC30F8" w:rsidRPr="259BE7AE">
        <w:rPr>
          <w:i/>
        </w:rPr>
        <w:t>Part I</w:t>
      </w:r>
      <w:r w:rsidR="00AC30F8">
        <w:t xml:space="preserve">, </w:t>
      </w:r>
      <w:r w:rsidR="00076B2A">
        <w:t>examinees</w:t>
      </w:r>
      <w:r w:rsidR="00AC30F8">
        <w:t xml:space="preserve"> must have an overall score of 70 percent </w:t>
      </w:r>
      <w:r w:rsidR="00AC30F8" w:rsidRPr="259BE7AE">
        <w:rPr>
          <w:b/>
        </w:rPr>
        <w:t>and</w:t>
      </w:r>
      <w:r w:rsidR="00AC30F8">
        <w:t xml:space="preserve"> must not score below 60 percent in any of the four topic areas. </w:t>
      </w:r>
      <w:r>
        <w:t xml:space="preserve">Part II consists of </w:t>
      </w:r>
      <w:r w:rsidR="00045B21">
        <w:t xml:space="preserve">about </w:t>
      </w:r>
      <w:r>
        <w:t>40 open-</w:t>
      </w:r>
      <w:r w:rsidR="00045B21">
        <w:t>ended</w:t>
      </w:r>
      <w:r>
        <w:t xml:space="preserve"> items </w:t>
      </w:r>
      <w:r w:rsidR="00327D30">
        <w:t xml:space="preserve">that </w:t>
      </w:r>
      <w:r w:rsidR="00045B21" w:rsidRPr="00045B21">
        <w:t>assess skills rather than factual knowledge alone. These skills include:</w:t>
      </w:r>
    </w:p>
    <w:p w14:paraId="3F696DF7" w14:textId="77777777" w:rsidR="001D3FB5" w:rsidRPr="00045B21" w:rsidRDefault="001D3FB5" w:rsidP="00327D30">
      <w:pPr>
        <w:pStyle w:val="BodyText"/>
      </w:pPr>
    </w:p>
    <w:p w14:paraId="4A94578F" w14:textId="77AE94F5" w:rsidR="00045B21" w:rsidRPr="00045B21" w:rsidRDefault="00045B21" w:rsidP="00045B21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</w:p>
    <w:p w14:paraId="37EFF85E" w14:textId="77AE94F5" w:rsidR="00045B21" w:rsidRPr="005B27A1" w:rsidRDefault="00045B21" w:rsidP="005B27A1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5B27A1">
        <w:rPr>
          <w:rFonts w:ascii="Arial" w:hAnsi="Arial" w:cs="Arial"/>
        </w:rPr>
        <w:lastRenderedPageBreak/>
        <w:t>Data analysis and assessment;</w:t>
      </w:r>
    </w:p>
    <w:p w14:paraId="1189DFFD" w14:textId="27F5C0C6" w:rsidR="00045B21" w:rsidRDefault="00045B21" w:rsidP="005B27A1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5B27A1">
        <w:rPr>
          <w:rFonts w:ascii="Arial" w:hAnsi="Arial" w:cs="Arial"/>
        </w:rPr>
        <w:t>Policy and program development;</w:t>
      </w:r>
    </w:p>
    <w:p w14:paraId="729E05E1" w14:textId="77AE94F5" w:rsidR="00045B21" w:rsidRPr="005B27A1" w:rsidRDefault="00045B21" w:rsidP="005B27A1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5B27A1">
        <w:rPr>
          <w:rFonts w:ascii="Arial" w:hAnsi="Arial" w:cs="Arial"/>
        </w:rPr>
        <w:t>Communication;</w:t>
      </w:r>
    </w:p>
    <w:p w14:paraId="4CD15A67" w14:textId="77AE94F5" w:rsidR="00045B21" w:rsidRPr="005B27A1" w:rsidRDefault="00045B21" w:rsidP="005B27A1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5B27A1">
        <w:rPr>
          <w:rFonts w:ascii="Arial" w:hAnsi="Arial" w:cs="Arial"/>
        </w:rPr>
        <w:t>Cultural competency;</w:t>
      </w:r>
    </w:p>
    <w:p w14:paraId="2B921555" w14:textId="77AE94F5" w:rsidR="00045B21" w:rsidRPr="005B27A1" w:rsidRDefault="00045B21" w:rsidP="005B27A1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5B27A1">
        <w:rPr>
          <w:rFonts w:ascii="Arial" w:hAnsi="Arial" w:cs="Arial"/>
        </w:rPr>
        <w:t>Community dimensions of public health practice;</w:t>
      </w:r>
    </w:p>
    <w:p w14:paraId="790849BB" w14:textId="77AE94F5" w:rsidR="00045B21" w:rsidRPr="005B27A1" w:rsidRDefault="00045B21" w:rsidP="005B27A1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5B27A1">
        <w:rPr>
          <w:rFonts w:ascii="Arial" w:hAnsi="Arial" w:cs="Arial"/>
        </w:rPr>
        <w:t>Public health science;</w:t>
      </w:r>
    </w:p>
    <w:p w14:paraId="293E5254" w14:textId="77AE94F5" w:rsidR="00045B21" w:rsidRPr="005B27A1" w:rsidRDefault="00045B21" w:rsidP="005B27A1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5B27A1">
        <w:rPr>
          <w:rFonts w:ascii="Arial" w:hAnsi="Arial" w:cs="Arial"/>
        </w:rPr>
        <w:t>Financial management; and</w:t>
      </w:r>
    </w:p>
    <w:p w14:paraId="6CA08044" w14:textId="77AE94F5" w:rsidR="00660C98" w:rsidRPr="005B27A1" w:rsidRDefault="00045B21" w:rsidP="005B27A1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5B27A1">
        <w:rPr>
          <w:rFonts w:ascii="Arial" w:hAnsi="Arial" w:cs="Arial"/>
        </w:rPr>
        <w:t>Leadership and systems thinking.</w:t>
      </w:r>
    </w:p>
    <w:p w14:paraId="6465928F" w14:textId="77AE94F5" w:rsidR="00660C98" w:rsidRPr="00C671C1" w:rsidRDefault="00660C98" w:rsidP="00E300C4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</w:p>
    <w:p w14:paraId="27B45A7B" w14:textId="2C4B9C96" w:rsidR="00FF1039" w:rsidRPr="00C671C1" w:rsidRDefault="00AC30F8" w:rsidP="00E300C4">
      <w:pPr>
        <w:tabs>
          <w:tab w:val="left" w:pos="360"/>
          <w:tab w:val="left" w:pos="450"/>
        </w:tabs>
        <w:spacing w:after="0" w:line="240" w:lineRule="auto"/>
        <w:ind w:right="-90"/>
        <w:jc w:val="both"/>
        <w:rPr>
          <w:rFonts w:ascii="Arial" w:hAnsi="Arial" w:cs="Arial"/>
        </w:rPr>
      </w:pPr>
      <w:r w:rsidRPr="00C671C1">
        <w:rPr>
          <w:rFonts w:ascii="Arial" w:hAnsi="Arial" w:cs="Arial"/>
        </w:rPr>
        <w:t>It should be noted that the sole purpose of a licensing examination is to identify persons who possess the minimum knowledge and experience necessary to perform tasks on the job safely and competently</w:t>
      </w:r>
      <w:r w:rsidR="002D2DD9">
        <w:rPr>
          <w:rFonts w:ascii="Arial" w:hAnsi="Arial" w:cs="Arial"/>
        </w:rPr>
        <w:t xml:space="preserve"> </w:t>
      </w:r>
      <w:r w:rsidR="00C874D9">
        <w:rPr>
          <w:rFonts w:ascii="Arial" w:hAnsi="Arial" w:cs="Arial"/>
        </w:rPr>
        <w:t>–</w:t>
      </w:r>
      <w:r w:rsidR="002D2DD9">
        <w:rPr>
          <w:rFonts w:ascii="Arial" w:hAnsi="Arial" w:cs="Arial"/>
        </w:rPr>
        <w:t xml:space="preserve"> </w:t>
      </w:r>
      <w:r w:rsidRPr="00C671C1">
        <w:rPr>
          <w:rFonts w:ascii="Arial" w:hAnsi="Arial" w:cs="Arial"/>
        </w:rPr>
        <w:t xml:space="preserve">not to select “top” candidates or ensure the success of licensed persons. Therefore, licensing examinations are very different from academic or employment examinations. Academic examinations assess how well a person can define and comprehend terms and concepts. Employment examinations </w:t>
      </w:r>
      <w:r w:rsidR="0036786A">
        <w:rPr>
          <w:rFonts w:ascii="Arial" w:hAnsi="Arial" w:cs="Arial"/>
        </w:rPr>
        <w:t>aim to</w:t>
      </w:r>
      <w:r w:rsidRPr="00C671C1">
        <w:rPr>
          <w:rFonts w:ascii="Arial" w:hAnsi="Arial" w:cs="Arial"/>
        </w:rPr>
        <w:t xml:space="preserve"> rank order candidates who possess qualifications for </w:t>
      </w:r>
      <w:r w:rsidR="0036786A">
        <w:rPr>
          <w:rFonts w:ascii="Arial" w:hAnsi="Arial" w:cs="Arial"/>
        </w:rPr>
        <w:t>a</w:t>
      </w:r>
      <w:r w:rsidRPr="00C671C1">
        <w:rPr>
          <w:rFonts w:ascii="Arial" w:hAnsi="Arial" w:cs="Arial"/>
        </w:rPr>
        <w:t xml:space="preserve"> job.</w:t>
      </w:r>
    </w:p>
    <w:p w14:paraId="38D5600C" w14:textId="77777777" w:rsidR="004C7BB8" w:rsidRDefault="004C7BB8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</w:pPr>
    </w:p>
    <w:p w14:paraId="6CD2769C" w14:textId="575498F4" w:rsidR="004C7BB8" w:rsidRPr="00DA20B3" w:rsidRDefault="004C7BB8" w:rsidP="004C7BB8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APPLICATION FOR </w:t>
      </w:r>
      <w:r w:rsidRPr="00E300C4">
        <w:rPr>
          <w:rFonts w:ascii="Arial" w:hAnsi="Arial" w:cs="Arial"/>
          <w:b/>
          <w:color w:val="002060"/>
          <w:sz w:val="24"/>
          <w:szCs w:val="24"/>
        </w:rPr>
        <w:t xml:space="preserve">HEALTH </w:t>
      </w:r>
      <w:r>
        <w:rPr>
          <w:rFonts w:ascii="Arial" w:hAnsi="Arial" w:cs="Arial"/>
          <w:b/>
          <w:color w:val="002060"/>
          <w:sz w:val="24"/>
          <w:szCs w:val="24"/>
        </w:rPr>
        <w:t>OFFICER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EXAMINATION </w:t>
      </w:r>
    </w:p>
    <w:p w14:paraId="4CFFF50D" w14:textId="2D0C0E4B" w:rsidR="00FF1039" w:rsidRPr="00C671C1" w:rsidRDefault="00AC30F8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</w:rPr>
      </w:pPr>
      <w:r>
        <w:br/>
      </w:r>
      <w:bookmarkStart w:id="1" w:name="_Hlk51142026"/>
      <w:r w:rsidRPr="00C671C1">
        <w:rPr>
          <w:rFonts w:ascii="Arial" w:hAnsi="Arial" w:cs="Arial"/>
        </w:rPr>
        <w:t>Admission to the examination is dependent upon the information submitted</w:t>
      </w:r>
      <w:r w:rsidR="007617B8">
        <w:rPr>
          <w:rFonts w:ascii="Arial" w:hAnsi="Arial" w:cs="Arial"/>
        </w:rPr>
        <w:t xml:space="preserve"> in an application</w:t>
      </w:r>
      <w:r w:rsidR="008F6E12">
        <w:rPr>
          <w:rFonts w:ascii="Arial" w:hAnsi="Arial" w:cs="Arial"/>
        </w:rPr>
        <w:t xml:space="preserve">, which </w:t>
      </w:r>
      <w:r w:rsidRPr="00C671C1">
        <w:rPr>
          <w:rFonts w:ascii="Arial" w:hAnsi="Arial" w:cs="Arial"/>
        </w:rPr>
        <w:t xml:space="preserve">must be accompanied by documentary evidence in support of </w:t>
      </w:r>
      <w:r w:rsidR="008F6E12">
        <w:rPr>
          <w:rFonts w:ascii="Arial" w:hAnsi="Arial" w:cs="Arial"/>
        </w:rPr>
        <w:t>an applicant’s</w:t>
      </w:r>
      <w:r w:rsidRPr="00C671C1">
        <w:rPr>
          <w:rFonts w:ascii="Arial" w:hAnsi="Arial" w:cs="Arial"/>
        </w:rPr>
        <w:t xml:space="preserve"> training, education, and experience. </w:t>
      </w:r>
      <w:bookmarkStart w:id="2" w:name="_Hlk51142041"/>
      <w:bookmarkEnd w:id="1"/>
      <w:r w:rsidR="00A512B8">
        <w:rPr>
          <w:rFonts w:ascii="Arial" w:hAnsi="Arial" w:cs="Arial"/>
        </w:rPr>
        <w:t>L</w:t>
      </w:r>
      <w:r w:rsidRPr="00C671C1">
        <w:rPr>
          <w:rFonts w:ascii="Arial" w:hAnsi="Arial" w:cs="Arial"/>
        </w:rPr>
        <w:t xml:space="preserve">etters verifying </w:t>
      </w:r>
      <w:r w:rsidR="00A512B8">
        <w:rPr>
          <w:rFonts w:ascii="Arial" w:hAnsi="Arial" w:cs="Arial"/>
        </w:rPr>
        <w:t xml:space="preserve">an applicant’s </w:t>
      </w:r>
      <w:r w:rsidRPr="00C671C1">
        <w:rPr>
          <w:rFonts w:ascii="Arial" w:hAnsi="Arial" w:cs="Arial"/>
        </w:rPr>
        <w:t xml:space="preserve">experience must list </w:t>
      </w:r>
      <w:r w:rsidRPr="00C671C1">
        <w:rPr>
          <w:rFonts w:ascii="Arial" w:hAnsi="Arial" w:cs="Arial"/>
          <w:b/>
          <w:bCs/>
        </w:rPr>
        <w:t>in detail</w:t>
      </w:r>
      <w:r w:rsidRPr="00C671C1">
        <w:rPr>
          <w:rFonts w:ascii="Arial" w:hAnsi="Arial" w:cs="Arial"/>
        </w:rPr>
        <w:t xml:space="preserve"> all the duties, responsibilities, and length of time served in the </w:t>
      </w:r>
      <w:proofErr w:type="gramStart"/>
      <w:r w:rsidRPr="00C671C1">
        <w:rPr>
          <w:rFonts w:ascii="Arial" w:hAnsi="Arial" w:cs="Arial"/>
        </w:rPr>
        <w:t>particular field</w:t>
      </w:r>
      <w:proofErr w:type="gramEnd"/>
      <w:r w:rsidRPr="00C671C1">
        <w:rPr>
          <w:rFonts w:ascii="Arial" w:hAnsi="Arial" w:cs="Arial"/>
        </w:rPr>
        <w:t>.</w:t>
      </w:r>
      <w:r w:rsidR="006123BF">
        <w:rPr>
          <w:rFonts w:ascii="Arial" w:hAnsi="Arial" w:cs="Arial"/>
        </w:rPr>
        <w:t xml:space="preserve"> </w:t>
      </w:r>
      <w:bookmarkEnd w:id="2"/>
      <w:r w:rsidRPr="00C671C1">
        <w:rPr>
          <w:rFonts w:ascii="Arial" w:hAnsi="Arial" w:cs="Arial"/>
        </w:rPr>
        <w:t xml:space="preserve">These letters must be from supervisor(s) and must verify and evaluate </w:t>
      </w:r>
      <w:r w:rsidR="005A1B31">
        <w:rPr>
          <w:rFonts w:ascii="Arial" w:hAnsi="Arial" w:cs="Arial"/>
        </w:rPr>
        <w:t>an applicant’s</w:t>
      </w:r>
      <w:r w:rsidRPr="00C671C1">
        <w:rPr>
          <w:rFonts w:ascii="Arial" w:hAnsi="Arial" w:cs="Arial"/>
        </w:rPr>
        <w:t xml:space="preserve"> employment experience. </w:t>
      </w:r>
      <w:r w:rsidR="009739BB">
        <w:rPr>
          <w:rFonts w:ascii="Arial" w:hAnsi="Arial" w:cs="Arial"/>
        </w:rPr>
        <w:t>D</w:t>
      </w:r>
      <w:r w:rsidRPr="00C671C1">
        <w:rPr>
          <w:rFonts w:ascii="Arial" w:hAnsi="Arial" w:cs="Arial"/>
        </w:rPr>
        <w:t xml:space="preserve">ocumentation </w:t>
      </w:r>
      <w:r w:rsidR="00F40199">
        <w:rPr>
          <w:rFonts w:ascii="Arial" w:hAnsi="Arial" w:cs="Arial"/>
        </w:rPr>
        <w:t>must</w:t>
      </w:r>
      <w:r w:rsidRPr="00C671C1">
        <w:rPr>
          <w:rFonts w:ascii="Arial" w:hAnsi="Arial" w:cs="Arial"/>
        </w:rPr>
        <w:t xml:space="preserve"> be in narrative form and </w:t>
      </w:r>
      <w:r w:rsidR="00E31F83">
        <w:rPr>
          <w:rFonts w:ascii="Arial" w:hAnsi="Arial" w:cs="Arial"/>
        </w:rPr>
        <w:t xml:space="preserve">must </w:t>
      </w:r>
      <w:r w:rsidRPr="00C671C1">
        <w:rPr>
          <w:rFonts w:ascii="Arial" w:hAnsi="Arial" w:cs="Arial"/>
        </w:rPr>
        <w:t xml:space="preserve">be as detailed as possible </w:t>
      </w:r>
      <w:r w:rsidR="00E31F83">
        <w:rPr>
          <w:rFonts w:ascii="Arial" w:hAnsi="Arial" w:cs="Arial"/>
        </w:rPr>
        <w:t>to</w:t>
      </w:r>
      <w:r w:rsidRPr="00C671C1">
        <w:rPr>
          <w:rFonts w:ascii="Arial" w:hAnsi="Arial" w:cs="Arial"/>
        </w:rPr>
        <w:t xml:space="preserve"> determin</w:t>
      </w:r>
      <w:r w:rsidR="00E31F83">
        <w:rPr>
          <w:rFonts w:ascii="Arial" w:hAnsi="Arial" w:cs="Arial"/>
        </w:rPr>
        <w:t xml:space="preserve">e </w:t>
      </w:r>
      <w:r w:rsidR="00077ADB">
        <w:rPr>
          <w:rFonts w:ascii="Arial" w:hAnsi="Arial" w:cs="Arial"/>
        </w:rPr>
        <w:t>whether</w:t>
      </w:r>
      <w:r w:rsidR="00E31F83">
        <w:rPr>
          <w:rFonts w:ascii="Arial" w:hAnsi="Arial" w:cs="Arial"/>
        </w:rPr>
        <w:t xml:space="preserve"> the applicant m</w:t>
      </w:r>
      <w:r w:rsidRPr="00C671C1">
        <w:rPr>
          <w:rFonts w:ascii="Arial" w:hAnsi="Arial" w:cs="Arial"/>
        </w:rPr>
        <w:t>eet</w:t>
      </w:r>
      <w:r w:rsidR="00E31F83">
        <w:rPr>
          <w:rFonts w:ascii="Arial" w:hAnsi="Arial" w:cs="Arial"/>
        </w:rPr>
        <w:t>s</w:t>
      </w:r>
      <w:r w:rsidRPr="00C671C1">
        <w:rPr>
          <w:rFonts w:ascii="Arial" w:hAnsi="Arial" w:cs="Arial"/>
        </w:rPr>
        <w:t xml:space="preserve"> the experiential qualifications. </w:t>
      </w:r>
      <w:bookmarkStart w:id="3" w:name="_Hlk51142070"/>
      <w:r w:rsidRPr="00C671C1">
        <w:rPr>
          <w:rFonts w:ascii="Arial" w:hAnsi="Arial" w:cs="Arial"/>
        </w:rPr>
        <w:t xml:space="preserve">An official transcript under seal must be submitted from </w:t>
      </w:r>
      <w:r w:rsidR="009A221A">
        <w:rPr>
          <w:rFonts w:ascii="Arial" w:hAnsi="Arial" w:cs="Arial"/>
        </w:rPr>
        <w:t>an applicant’s</w:t>
      </w:r>
      <w:r w:rsidRPr="00C671C1">
        <w:rPr>
          <w:rFonts w:ascii="Arial" w:hAnsi="Arial" w:cs="Arial"/>
        </w:rPr>
        <w:t xml:space="preserve"> college(s) or university(</w:t>
      </w:r>
      <w:proofErr w:type="spellStart"/>
      <w:r w:rsidRPr="00C671C1">
        <w:rPr>
          <w:rFonts w:ascii="Arial" w:hAnsi="Arial" w:cs="Arial"/>
        </w:rPr>
        <w:t>ies</w:t>
      </w:r>
      <w:proofErr w:type="spellEnd"/>
      <w:r w:rsidRPr="00C671C1">
        <w:rPr>
          <w:rFonts w:ascii="Arial" w:hAnsi="Arial" w:cs="Arial"/>
        </w:rPr>
        <w:t xml:space="preserve">). Student copies </w:t>
      </w:r>
      <w:r w:rsidR="00F107C2">
        <w:rPr>
          <w:rFonts w:ascii="Arial" w:hAnsi="Arial" w:cs="Arial"/>
        </w:rPr>
        <w:t>are</w:t>
      </w:r>
      <w:r w:rsidRPr="00C671C1">
        <w:rPr>
          <w:rFonts w:ascii="Arial" w:hAnsi="Arial" w:cs="Arial"/>
        </w:rPr>
        <w:t xml:space="preserve"> not accept</w:t>
      </w:r>
      <w:r w:rsidR="00F107C2">
        <w:rPr>
          <w:rFonts w:ascii="Arial" w:hAnsi="Arial" w:cs="Arial"/>
        </w:rPr>
        <w:t>able</w:t>
      </w:r>
      <w:r w:rsidRPr="00C671C1">
        <w:rPr>
          <w:rFonts w:ascii="Arial" w:hAnsi="Arial" w:cs="Arial"/>
        </w:rPr>
        <w:t xml:space="preserve">. </w:t>
      </w:r>
      <w:bookmarkStart w:id="4" w:name="_Hlk51142155"/>
      <w:bookmarkEnd w:id="3"/>
      <w:r w:rsidRPr="00C671C1">
        <w:rPr>
          <w:rFonts w:ascii="Arial" w:hAnsi="Arial" w:cs="Arial"/>
        </w:rPr>
        <w:t>The application must also include a copy of the course catalogue description of the required courses. Copies of certificates, awards, or other similar documents are appropriate documentat</w:t>
      </w:r>
      <w:r w:rsidR="00423D6B" w:rsidRPr="00C671C1">
        <w:rPr>
          <w:rFonts w:ascii="Arial" w:hAnsi="Arial" w:cs="Arial"/>
        </w:rPr>
        <w:t xml:space="preserve">ion in support of </w:t>
      </w:r>
      <w:r w:rsidR="00E15DCC">
        <w:rPr>
          <w:rFonts w:ascii="Arial" w:hAnsi="Arial" w:cs="Arial"/>
        </w:rPr>
        <w:t>an applicant’s</w:t>
      </w:r>
      <w:r w:rsidR="00423D6B" w:rsidRPr="00C671C1">
        <w:rPr>
          <w:rFonts w:ascii="Arial" w:hAnsi="Arial" w:cs="Arial"/>
        </w:rPr>
        <w:t xml:space="preserve"> training qu</w:t>
      </w:r>
      <w:r w:rsidRPr="00C671C1">
        <w:rPr>
          <w:rFonts w:ascii="Arial" w:hAnsi="Arial" w:cs="Arial"/>
        </w:rPr>
        <w:t xml:space="preserve">alifications. Incomplete applications </w:t>
      </w:r>
      <w:r w:rsidR="000306C1">
        <w:rPr>
          <w:rFonts w:ascii="Arial" w:hAnsi="Arial" w:cs="Arial"/>
        </w:rPr>
        <w:t>ar</w:t>
      </w:r>
      <w:r w:rsidRPr="00C671C1">
        <w:rPr>
          <w:rFonts w:ascii="Arial" w:hAnsi="Arial" w:cs="Arial"/>
        </w:rPr>
        <w:t xml:space="preserve">e </w:t>
      </w:r>
      <w:r w:rsidR="000306C1" w:rsidRPr="00C671C1">
        <w:rPr>
          <w:rFonts w:ascii="Arial" w:hAnsi="Arial" w:cs="Arial"/>
        </w:rPr>
        <w:t>rejected,</w:t>
      </w:r>
      <w:r w:rsidRPr="00C671C1">
        <w:rPr>
          <w:rFonts w:ascii="Arial" w:hAnsi="Arial" w:cs="Arial"/>
        </w:rPr>
        <w:t xml:space="preserve"> and the application fee </w:t>
      </w:r>
      <w:r w:rsidR="000306C1">
        <w:rPr>
          <w:rFonts w:ascii="Arial" w:hAnsi="Arial" w:cs="Arial"/>
        </w:rPr>
        <w:t>is</w:t>
      </w:r>
      <w:r w:rsidRPr="00C671C1">
        <w:rPr>
          <w:rFonts w:ascii="Arial" w:hAnsi="Arial" w:cs="Arial"/>
        </w:rPr>
        <w:t xml:space="preserve"> </w:t>
      </w:r>
      <w:r w:rsidR="008F4B1D">
        <w:rPr>
          <w:rFonts w:ascii="Arial" w:hAnsi="Arial" w:cs="Arial"/>
        </w:rPr>
        <w:t>non-refundable</w:t>
      </w:r>
      <w:r w:rsidRPr="00C671C1">
        <w:rPr>
          <w:rFonts w:ascii="Arial" w:hAnsi="Arial" w:cs="Arial"/>
        </w:rPr>
        <w:t>.</w:t>
      </w:r>
    </w:p>
    <w:bookmarkEnd w:id="4"/>
    <w:p w14:paraId="1268E1CC" w14:textId="68C35FA2" w:rsidR="00491CCC" w:rsidRPr="0093648D" w:rsidRDefault="00AC30F8" w:rsidP="00E300C4">
      <w:pPr>
        <w:pStyle w:val="BodyText"/>
        <w:rPr>
          <w:b/>
          <w:color w:val="002060"/>
          <w:szCs w:val="22"/>
        </w:rPr>
      </w:pPr>
      <w:r w:rsidRPr="00C671C1">
        <w:br/>
      </w:r>
      <w:bookmarkStart w:id="5" w:name="_Hlk51142179"/>
      <w:r w:rsidR="00FE2DC6" w:rsidRPr="0093648D">
        <w:rPr>
          <w:b/>
          <w:color w:val="002060"/>
          <w:szCs w:val="22"/>
        </w:rPr>
        <w:t>Applicants must f</w:t>
      </w:r>
      <w:r w:rsidR="00491CCC" w:rsidRPr="0093648D">
        <w:rPr>
          <w:b/>
          <w:color w:val="002060"/>
          <w:szCs w:val="22"/>
        </w:rPr>
        <w:t>orward completed application</w:t>
      </w:r>
      <w:r w:rsidR="00FE2DC6" w:rsidRPr="0093648D">
        <w:rPr>
          <w:b/>
          <w:color w:val="002060"/>
          <w:szCs w:val="22"/>
        </w:rPr>
        <w:t>s</w:t>
      </w:r>
      <w:r w:rsidR="00491CCC" w:rsidRPr="0093648D">
        <w:rPr>
          <w:b/>
          <w:color w:val="002060"/>
          <w:szCs w:val="22"/>
        </w:rPr>
        <w:t xml:space="preserve"> and supporting documentation along with a check or money order in the amount of $5</w:t>
      </w:r>
      <w:r w:rsidR="008A182A" w:rsidRPr="0093648D">
        <w:rPr>
          <w:b/>
          <w:color w:val="002060"/>
          <w:szCs w:val="22"/>
        </w:rPr>
        <w:t>0.00 to</w:t>
      </w:r>
      <w:r w:rsidR="00491CCC" w:rsidRPr="0093648D">
        <w:rPr>
          <w:b/>
          <w:color w:val="002060"/>
          <w:szCs w:val="22"/>
        </w:rPr>
        <w:t>:</w:t>
      </w:r>
    </w:p>
    <w:p w14:paraId="5CAAFC11" w14:textId="77777777" w:rsidR="00491CCC" w:rsidRPr="00506112" w:rsidRDefault="00491CCC" w:rsidP="00E300C4">
      <w:pPr>
        <w:pStyle w:val="BodyText"/>
        <w:rPr>
          <w:color w:val="002060"/>
          <w:szCs w:val="22"/>
        </w:rPr>
      </w:pPr>
    </w:p>
    <w:p w14:paraId="2694F16B" w14:textId="4685644C" w:rsidR="00491CCC" w:rsidRPr="0093648D" w:rsidRDefault="00491CCC" w:rsidP="00E1500C">
      <w:pPr>
        <w:pStyle w:val="BodyText"/>
        <w:jc w:val="center"/>
        <w:rPr>
          <w:color w:val="002060"/>
          <w:szCs w:val="22"/>
        </w:rPr>
      </w:pPr>
      <w:r w:rsidRPr="0093648D">
        <w:rPr>
          <w:color w:val="002060"/>
          <w:szCs w:val="22"/>
        </w:rPr>
        <w:t>N</w:t>
      </w:r>
      <w:r w:rsidR="00934BB3" w:rsidRPr="0093648D">
        <w:rPr>
          <w:color w:val="002060"/>
          <w:szCs w:val="22"/>
        </w:rPr>
        <w:t xml:space="preserve">ew </w:t>
      </w:r>
      <w:r w:rsidRPr="0093648D">
        <w:rPr>
          <w:color w:val="002060"/>
          <w:szCs w:val="22"/>
        </w:rPr>
        <w:t>J</w:t>
      </w:r>
      <w:r w:rsidR="00934BB3" w:rsidRPr="0093648D">
        <w:rPr>
          <w:color w:val="002060"/>
          <w:szCs w:val="22"/>
        </w:rPr>
        <w:t>ersey</w:t>
      </w:r>
      <w:r w:rsidRPr="0093648D">
        <w:rPr>
          <w:color w:val="002060"/>
          <w:szCs w:val="22"/>
        </w:rPr>
        <w:t xml:space="preserve"> Department of Health</w:t>
      </w:r>
      <w:r w:rsidR="00444C27">
        <w:rPr>
          <w:color w:val="002060"/>
          <w:szCs w:val="22"/>
        </w:rPr>
        <w:t xml:space="preserve"> </w:t>
      </w:r>
    </w:p>
    <w:p w14:paraId="3AFE5629" w14:textId="344EF8B4" w:rsidR="00491CCC" w:rsidRPr="0093648D" w:rsidRDefault="00491CCC" w:rsidP="00E1500C">
      <w:pPr>
        <w:pStyle w:val="BodyText"/>
        <w:jc w:val="center"/>
        <w:rPr>
          <w:color w:val="002060"/>
          <w:szCs w:val="22"/>
        </w:rPr>
      </w:pPr>
      <w:r w:rsidRPr="0093648D">
        <w:rPr>
          <w:color w:val="002060"/>
          <w:szCs w:val="22"/>
        </w:rPr>
        <w:t>Office of Local Public Health</w:t>
      </w:r>
    </w:p>
    <w:p w14:paraId="4A3C36E4" w14:textId="1C301D4A" w:rsidR="00491CCC" w:rsidRPr="0093648D" w:rsidRDefault="00934BB3" w:rsidP="00E1500C">
      <w:pPr>
        <w:pStyle w:val="BodyText"/>
        <w:jc w:val="center"/>
        <w:rPr>
          <w:color w:val="002060"/>
          <w:szCs w:val="22"/>
        </w:rPr>
      </w:pPr>
      <w:r w:rsidRPr="0093648D">
        <w:rPr>
          <w:color w:val="002060"/>
          <w:szCs w:val="22"/>
        </w:rPr>
        <w:t>Public Health Licensure</w:t>
      </w:r>
    </w:p>
    <w:p w14:paraId="0312940F" w14:textId="5F212B1E" w:rsidR="00491CCC" w:rsidRPr="0093648D" w:rsidRDefault="00491CCC" w:rsidP="00E1500C">
      <w:pPr>
        <w:pStyle w:val="BodyText"/>
        <w:jc w:val="center"/>
        <w:rPr>
          <w:color w:val="002060"/>
          <w:szCs w:val="22"/>
        </w:rPr>
      </w:pPr>
      <w:r w:rsidRPr="0093648D">
        <w:rPr>
          <w:color w:val="002060"/>
          <w:szCs w:val="22"/>
        </w:rPr>
        <w:t>P</w:t>
      </w:r>
      <w:r w:rsidR="00E1500C" w:rsidRPr="0093648D">
        <w:rPr>
          <w:color w:val="002060"/>
          <w:szCs w:val="22"/>
        </w:rPr>
        <w:t>.</w:t>
      </w:r>
      <w:r w:rsidRPr="0093648D">
        <w:rPr>
          <w:color w:val="002060"/>
          <w:szCs w:val="22"/>
        </w:rPr>
        <w:t>O</w:t>
      </w:r>
      <w:r w:rsidR="00E1500C" w:rsidRPr="0093648D">
        <w:rPr>
          <w:color w:val="002060"/>
          <w:szCs w:val="22"/>
        </w:rPr>
        <w:t>.</w:t>
      </w:r>
      <w:r w:rsidRPr="0093648D">
        <w:rPr>
          <w:color w:val="002060"/>
          <w:szCs w:val="22"/>
        </w:rPr>
        <w:t xml:space="preserve"> Box 360</w:t>
      </w:r>
    </w:p>
    <w:p w14:paraId="7AC6C502" w14:textId="77777777" w:rsidR="00491CCC" w:rsidRPr="0093648D" w:rsidRDefault="00491CCC" w:rsidP="00E1500C">
      <w:pPr>
        <w:pStyle w:val="BodyText"/>
        <w:jc w:val="center"/>
        <w:rPr>
          <w:color w:val="002060"/>
          <w:szCs w:val="22"/>
        </w:rPr>
      </w:pPr>
      <w:r w:rsidRPr="0093648D">
        <w:rPr>
          <w:color w:val="002060"/>
          <w:szCs w:val="22"/>
        </w:rPr>
        <w:t>Trenton, NJ 08625-0360</w:t>
      </w:r>
    </w:p>
    <w:p w14:paraId="50D7E444" w14:textId="77777777" w:rsidR="00503904" w:rsidRPr="000E6930" w:rsidRDefault="00503904" w:rsidP="00E300C4">
      <w:pPr>
        <w:pStyle w:val="BodyText"/>
        <w:rPr>
          <w:b/>
          <w:szCs w:val="22"/>
        </w:rPr>
      </w:pPr>
    </w:p>
    <w:p w14:paraId="0870007B" w14:textId="42746D02" w:rsidR="00491CCC" w:rsidRPr="00273F37" w:rsidRDefault="0020212B" w:rsidP="00E300C4">
      <w:pPr>
        <w:pStyle w:val="BodyText"/>
        <w:rPr>
          <w:szCs w:val="22"/>
        </w:rPr>
      </w:pPr>
      <w:r>
        <w:rPr>
          <w:szCs w:val="22"/>
        </w:rPr>
        <w:t>A</w:t>
      </w:r>
      <w:r w:rsidR="005D5B67">
        <w:rPr>
          <w:szCs w:val="22"/>
        </w:rPr>
        <w:t>n a</w:t>
      </w:r>
      <w:r>
        <w:rPr>
          <w:szCs w:val="22"/>
        </w:rPr>
        <w:t xml:space="preserve">pplicant’s </w:t>
      </w:r>
      <w:r w:rsidR="00491CCC" w:rsidRPr="00C671C1">
        <w:rPr>
          <w:szCs w:val="22"/>
        </w:rPr>
        <w:t xml:space="preserve">check or money order must be made payable to </w:t>
      </w:r>
      <w:r w:rsidR="00491CCC" w:rsidRPr="00B37883">
        <w:rPr>
          <w:b/>
          <w:i/>
          <w:iCs/>
          <w:color w:val="002060"/>
          <w:szCs w:val="22"/>
        </w:rPr>
        <w:t>Treasurer, State of New Jersey</w:t>
      </w:r>
      <w:r w:rsidR="00491CCC" w:rsidRPr="00C671C1">
        <w:rPr>
          <w:szCs w:val="22"/>
        </w:rPr>
        <w:t xml:space="preserve">.  </w:t>
      </w:r>
      <w:bookmarkEnd w:id="5"/>
      <w:r w:rsidR="00491CCC" w:rsidRPr="00C671C1">
        <w:rPr>
          <w:szCs w:val="22"/>
        </w:rPr>
        <w:t xml:space="preserve">All fees are non-refundable and non-transferable. </w:t>
      </w:r>
      <w:bookmarkStart w:id="6" w:name="_Hlk51142196"/>
      <w:r w:rsidR="00491CCC" w:rsidRPr="00C671C1">
        <w:rPr>
          <w:szCs w:val="22"/>
        </w:rPr>
        <w:t xml:space="preserve">The fee that accompanies </w:t>
      </w:r>
      <w:r w:rsidR="005E63A0">
        <w:rPr>
          <w:szCs w:val="22"/>
        </w:rPr>
        <w:t>an</w:t>
      </w:r>
      <w:r w:rsidR="00491CCC" w:rsidRPr="00C671C1">
        <w:rPr>
          <w:szCs w:val="22"/>
        </w:rPr>
        <w:t xml:space="preserve"> application covers the cost of reviewing and processing the application; it can not be refunded even if </w:t>
      </w:r>
      <w:r w:rsidR="00871D39">
        <w:rPr>
          <w:szCs w:val="22"/>
        </w:rPr>
        <w:t>an applicant is</w:t>
      </w:r>
      <w:r w:rsidR="00491CCC" w:rsidRPr="00C671C1">
        <w:rPr>
          <w:szCs w:val="22"/>
        </w:rPr>
        <w:t xml:space="preserve"> found ineligible for the examination.</w:t>
      </w:r>
      <w:r w:rsidR="00273F37">
        <w:rPr>
          <w:szCs w:val="22"/>
        </w:rPr>
        <w:t xml:space="preserve"> Please note that if an applicant is found</w:t>
      </w:r>
      <w:r w:rsidR="00273F37" w:rsidRPr="00C671C1">
        <w:rPr>
          <w:b/>
        </w:rPr>
        <w:t xml:space="preserve"> </w:t>
      </w:r>
      <w:r w:rsidR="00273F37" w:rsidRPr="00273F37">
        <w:t xml:space="preserve">eligible to sit for the examination, an examination fee of $100.00 is </w:t>
      </w:r>
      <w:r w:rsidR="004A1428">
        <w:t xml:space="preserve">also </w:t>
      </w:r>
      <w:r w:rsidR="00273F37" w:rsidRPr="00273F37">
        <w:t>collected.</w:t>
      </w:r>
    </w:p>
    <w:bookmarkEnd w:id="6"/>
    <w:p w14:paraId="4BCF3484" w14:textId="77777777" w:rsidR="00491CCC" w:rsidRPr="00C671C1" w:rsidRDefault="00491CCC" w:rsidP="00E300C4">
      <w:pPr>
        <w:pStyle w:val="BodyText"/>
        <w:ind w:firstLine="720"/>
        <w:rPr>
          <w:szCs w:val="22"/>
        </w:rPr>
      </w:pPr>
    </w:p>
    <w:p w14:paraId="671E90E1" w14:textId="61049DC2" w:rsidR="00FF1039" w:rsidRPr="00C671C1" w:rsidRDefault="00AC30F8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</w:rPr>
      </w:pPr>
      <w:bookmarkStart w:id="7" w:name="_Hlk51142221"/>
      <w:r w:rsidRPr="00C671C1">
        <w:rPr>
          <w:rFonts w:ascii="Arial" w:hAnsi="Arial" w:cs="Arial"/>
        </w:rPr>
        <w:t xml:space="preserve">Only applications which are complete and have been received </w:t>
      </w:r>
      <w:r w:rsidR="00D664E4">
        <w:rPr>
          <w:rFonts w:ascii="Arial" w:hAnsi="Arial" w:cs="Arial"/>
        </w:rPr>
        <w:t>by</w:t>
      </w:r>
      <w:r w:rsidRPr="00C671C1">
        <w:rPr>
          <w:rFonts w:ascii="Arial" w:hAnsi="Arial" w:cs="Arial"/>
        </w:rPr>
        <w:t xml:space="preserve"> the published examination </w:t>
      </w:r>
      <w:r w:rsidR="00E44C19">
        <w:rPr>
          <w:rFonts w:ascii="Arial" w:hAnsi="Arial" w:cs="Arial"/>
        </w:rPr>
        <w:t xml:space="preserve">application </w:t>
      </w:r>
      <w:r w:rsidRPr="00C671C1">
        <w:rPr>
          <w:rFonts w:ascii="Arial" w:hAnsi="Arial" w:cs="Arial"/>
        </w:rPr>
        <w:t xml:space="preserve">closing date shall be reviewed by </w:t>
      </w:r>
      <w:r w:rsidR="00840629">
        <w:rPr>
          <w:rFonts w:ascii="Arial" w:hAnsi="Arial" w:cs="Arial"/>
        </w:rPr>
        <w:t>the New Jersey Department of Health’s (</w:t>
      </w:r>
      <w:r w:rsidR="00F20823">
        <w:rPr>
          <w:rFonts w:ascii="Arial" w:hAnsi="Arial" w:cs="Arial"/>
        </w:rPr>
        <w:t>NJDOH</w:t>
      </w:r>
      <w:r w:rsidR="00840629">
        <w:rPr>
          <w:rFonts w:ascii="Arial" w:hAnsi="Arial" w:cs="Arial"/>
        </w:rPr>
        <w:t>) Office of Local Public Health</w:t>
      </w:r>
      <w:r w:rsidR="008C4E32">
        <w:rPr>
          <w:rFonts w:ascii="Arial" w:hAnsi="Arial" w:cs="Arial"/>
        </w:rPr>
        <w:t xml:space="preserve"> </w:t>
      </w:r>
      <w:r w:rsidR="00840629">
        <w:rPr>
          <w:rFonts w:ascii="Arial" w:hAnsi="Arial" w:cs="Arial"/>
        </w:rPr>
        <w:t>(</w:t>
      </w:r>
      <w:r w:rsidR="008C4E32">
        <w:rPr>
          <w:rFonts w:ascii="Arial" w:hAnsi="Arial" w:cs="Arial"/>
        </w:rPr>
        <w:t>OLPH</w:t>
      </w:r>
      <w:r w:rsidR="00840629">
        <w:rPr>
          <w:rFonts w:ascii="Arial" w:hAnsi="Arial" w:cs="Arial"/>
        </w:rPr>
        <w:t>)</w:t>
      </w:r>
      <w:r w:rsidR="008C4E32">
        <w:rPr>
          <w:rFonts w:ascii="Arial" w:hAnsi="Arial" w:cs="Arial"/>
        </w:rPr>
        <w:t xml:space="preserve"> and </w:t>
      </w:r>
      <w:r w:rsidRPr="00C671C1">
        <w:rPr>
          <w:rFonts w:ascii="Arial" w:hAnsi="Arial" w:cs="Arial"/>
        </w:rPr>
        <w:t>the</w:t>
      </w:r>
      <w:r w:rsidR="00E47B78">
        <w:rPr>
          <w:rFonts w:ascii="Arial" w:hAnsi="Arial" w:cs="Arial"/>
        </w:rPr>
        <w:t xml:space="preserve"> New Jersey Public Health Licensing and Examination</w:t>
      </w:r>
      <w:r w:rsidRPr="00C671C1">
        <w:rPr>
          <w:rFonts w:ascii="Arial" w:hAnsi="Arial" w:cs="Arial"/>
        </w:rPr>
        <w:t xml:space="preserve"> Board. The deadline for application submission </w:t>
      </w:r>
      <w:r w:rsidR="00CA2593">
        <w:rPr>
          <w:rFonts w:ascii="Arial" w:hAnsi="Arial" w:cs="Arial"/>
        </w:rPr>
        <w:t>is</w:t>
      </w:r>
      <w:r w:rsidRPr="00C671C1">
        <w:rPr>
          <w:rFonts w:ascii="Arial" w:hAnsi="Arial" w:cs="Arial"/>
        </w:rPr>
        <w:t xml:space="preserve"> enforced according to the postmark on the packet.</w:t>
      </w:r>
      <w:r w:rsidR="00836D27" w:rsidRPr="00C671C1">
        <w:rPr>
          <w:rFonts w:ascii="Arial" w:hAnsi="Arial" w:cs="Arial"/>
        </w:rPr>
        <w:t xml:space="preserve"> </w:t>
      </w:r>
      <w:r w:rsidR="001A0E2A">
        <w:rPr>
          <w:rFonts w:ascii="Arial" w:hAnsi="Arial" w:cs="Arial"/>
        </w:rPr>
        <w:t xml:space="preserve">Applicants are </w:t>
      </w:r>
      <w:r w:rsidR="00836D27" w:rsidRPr="00C671C1">
        <w:rPr>
          <w:rFonts w:ascii="Arial" w:hAnsi="Arial" w:cs="Arial"/>
        </w:rPr>
        <w:t xml:space="preserve">notified of </w:t>
      </w:r>
      <w:r w:rsidR="001A0E2A">
        <w:rPr>
          <w:rFonts w:ascii="Arial" w:hAnsi="Arial" w:cs="Arial"/>
        </w:rPr>
        <w:t>their</w:t>
      </w:r>
      <w:r w:rsidR="00836D27" w:rsidRPr="00C671C1">
        <w:rPr>
          <w:rFonts w:ascii="Arial" w:hAnsi="Arial" w:cs="Arial"/>
        </w:rPr>
        <w:t xml:space="preserve"> eligibility approximately one month prior to the examination date for which </w:t>
      </w:r>
      <w:r w:rsidR="00425CEB">
        <w:rPr>
          <w:rFonts w:ascii="Arial" w:hAnsi="Arial" w:cs="Arial"/>
        </w:rPr>
        <w:t>they</w:t>
      </w:r>
      <w:r w:rsidR="00836D27" w:rsidRPr="00C671C1">
        <w:rPr>
          <w:rFonts w:ascii="Arial" w:hAnsi="Arial" w:cs="Arial"/>
        </w:rPr>
        <w:t xml:space="preserve"> applied.</w:t>
      </w:r>
    </w:p>
    <w:p w14:paraId="1AA8FB48" w14:textId="443EB736" w:rsidR="00836D27" w:rsidRDefault="00836D27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DDE160F" w14:textId="5F0EDD72" w:rsidR="00526075" w:rsidRDefault="00526075" w:rsidP="00A96F70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585249B6" w14:textId="77777777" w:rsidR="00077ADB" w:rsidRDefault="00077ADB" w:rsidP="00A96F70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1315625E" w14:textId="34604FB1" w:rsidR="00A96F70" w:rsidRPr="00E300C4" w:rsidRDefault="00ED2F97" w:rsidP="00A96F70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4"/>
          <w:szCs w:val="24"/>
        </w:rPr>
        <w:t>RESOURCES</w:t>
      </w:r>
    </w:p>
    <w:p w14:paraId="35076C9B" w14:textId="77777777" w:rsidR="00A96F70" w:rsidRPr="00C671C1" w:rsidRDefault="00A96F70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6F8FCA97" w14:textId="0918B7A9" w:rsidR="00B23F13" w:rsidRDefault="00236DBD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</w:rPr>
      </w:pPr>
      <w:bookmarkStart w:id="8" w:name="_Hlk51142251"/>
      <w:bookmarkEnd w:id="7"/>
      <w:r>
        <w:rPr>
          <w:rFonts w:ascii="Arial" w:hAnsi="Arial" w:cs="Arial"/>
        </w:rPr>
        <w:t>Access</w:t>
      </w:r>
      <w:r w:rsidR="0027016D">
        <w:rPr>
          <w:rFonts w:ascii="Arial" w:hAnsi="Arial" w:cs="Arial"/>
        </w:rPr>
        <w:t xml:space="preserve"> the </w:t>
      </w:r>
      <w:r w:rsidR="00836D27" w:rsidRPr="00C671C1">
        <w:rPr>
          <w:rFonts w:ascii="Arial" w:hAnsi="Arial" w:cs="Arial"/>
        </w:rPr>
        <w:t xml:space="preserve">Health Officer </w:t>
      </w:r>
      <w:r w:rsidR="0027016D">
        <w:rPr>
          <w:rFonts w:ascii="Arial" w:hAnsi="Arial" w:cs="Arial"/>
        </w:rPr>
        <w:t xml:space="preserve">examination </w:t>
      </w:r>
      <w:r w:rsidR="00836D27" w:rsidRPr="00C671C1">
        <w:rPr>
          <w:rFonts w:ascii="Arial" w:hAnsi="Arial" w:cs="Arial"/>
        </w:rPr>
        <w:t>application</w:t>
      </w:r>
      <w:r w:rsidR="00D8411B">
        <w:rPr>
          <w:rFonts w:ascii="Arial" w:hAnsi="Arial" w:cs="Arial"/>
        </w:rPr>
        <w:t>, application checklist, and</w:t>
      </w:r>
      <w:r w:rsidR="00B23F13">
        <w:rPr>
          <w:rFonts w:ascii="Arial" w:hAnsi="Arial" w:cs="Arial"/>
        </w:rPr>
        <w:t xml:space="preserve"> the e</w:t>
      </w:r>
      <w:r w:rsidR="00D7785D" w:rsidRPr="00C671C1">
        <w:rPr>
          <w:rFonts w:ascii="Arial" w:hAnsi="Arial" w:cs="Arial"/>
        </w:rPr>
        <w:t xml:space="preserve">xamination </w:t>
      </w:r>
      <w:r w:rsidR="00B23F13">
        <w:rPr>
          <w:rFonts w:ascii="Arial" w:hAnsi="Arial" w:cs="Arial"/>
        </w:rPr>
        <w:t>schedule</w:t>
      </w:r>
      <w:r w:rsidR="0027016D">
        <w:rPr>
          <w:rFonts w:ascii="Arial" w:hAnsi="Arial" w:cs="Arial"/>
        </w:rPr>
        <w:t xml:space="preserve"> at the following </w:t>
      </w:r>
      <w:r w:rsidR="000C59A0">
        <w:rPr>
          <w:rFonts w:ascii="Arial" w:hAnsi="Arial" w:cs="Arial"/>
        </w:rPr>
        <w:t>webpage</w:t>
      </w:r>
      <w:r w:rsidR="00B23F13">
        <w:rPr>
          <w:rFonts w:ascii="Arial" w:hAnsi="Arial" w:cs="Arial"/>
        </w:rPr>
        <w:t>:</w:t>
      </w:r>
    </w:p>
    <w:p w14:paraId="3A723800" w14:textId="77777777" w:rsidR="00F77A63" w:rsidRDefault="00F77A63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14:paraId="5FBCB014" w14:textId="090407CC" w:rsidR="00C671C1" w:rsidRPr="008B63D1" w:rsidRDefault="00B23F13" w:rsidP="00F77A63">
      <w:pPr>
        <w:pStyle w:val="ListParagraph"/>
        <w:tabs>
          <w:tab w:val="left" w:pos="180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  <w:hyperlink r:id="rId9" w:history="1">
        <w:r w:rsidRPr="008B63D1">
          <w:rPr>
            <w:rStyle w:val="Hyperlink"/>
            <w:rFonts w:ascii="Arial" w:hAnsi="Arial" w:cs="Arial"/>
            <w:b/>
          </w:rPr>
          <w:t>https://www.nj.gov/health/lh/professionals/licensing/</w:t>
        </w:r>
      </w:hyperlink>
      <w:r w:rsidRPr="008B63D1">
        <w:rPr>
          <w:rFonts w:ascii="Arial" w:hAnsi="Arial" w:cs="Arial"/>
          <w:b/>
        </w:rPr>
        <w:t xml:space="preserve"> </w:t>
      </w:r>
      <w:r w:rsidR="00836D27" w:rsidRPr="008B63D1">
        <w:rPr>
          <w:rFonts w:ascii="Arial" w:hAnsi="Arial" w:cs="Arial"/>
          <w:b/>
        </w:rPr>
        <w:t xml:space="preserve"> </w:t>
      </w:r>
      <w:bookmarkEnd w:id="8"/>
      <w:r w:rsidR="00AC30F8" w:rsidRPr="008B63D1">
        <w:rPr>
          <w:rFonts w:ascii="Arial" w:hAnsi="Arial" w:cs="Arial"/>
          <w:b/>
        </w:rPr>
        <w:br/>
      </w:r>
    </w:p>
    <w:p w14:paraId="084AC4AE" w14:textId="6A095EF4" w:rsidR="00E525E6" w:rsidRDefault="00BE3E74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</w:rPr>
        <w:t>T</w:t>
      </w:r>
      <w:r w:rsidR="00C671C1" w:rsidRPr="000E6930">
        <w:rPr>
          <w:rFonts w:ascii="Arial" w:hAnsi="Arial" w:cs="Arial"/>
        </w:rPr>
        <w:t xml:space="preserve">he </w:t>
      </w:r>
      <w:r w:rsidR="00C671C1" w:rsidRPr="00A86A67">
        <w:rPr>
          <w:rFonts w:ascii="Arial" w:hAnsi="Arial" w:cs="Arial"/>
          <w:b/>
          <w:color w:val="002060"/>
          <w:lang w:val="en"/>
        </w:rPr>
        <w:t>Health Officer Orientation Packet (HOOP)</w:t>
      </w:r>
      <w:r w:rsidR="003228ED">
        <w:rPr>
          <w:rFonts w:ascii="Arial" w:hAnsi="Arial" w:cs="Arial"/>
          <w:lang w:val="en"/>
        </w:rPr>
        <w:t>, a</w:t>
      </w:r>
      <w:r w:rsidR="00C671C1" w:rsidRPr="000E6930">
        <w:rPr>
          <w:rFonts w:ascii="Arial" w:hAnsi="Arial" w:cs="Arial"/>
          <w:lang w:val="en"/>
        </w:rPr>
        <w:t xml:space="preserve"> compendium of administrative resources for newly appointed health officers, seasoned health officers, and local public health employees in leadership or managerial positions</w:t>
      </w:r>
      <w:r w:rsidR="008C1B9C">
        <w:rPr>
          <w:rFonts w:ascii="Arial" w:hAnsi="Arial" w:cs="Arial"/>
          <w:lang w:val="en"/>
        </w:rPr>
        <w:t xml:space="preserve">, may also be </w:t>
      </w:r>
      <w:r w:rsidR="000B5090">
        <w:rPr>
          <w:rFonts w:ascii="Arial" w:hAnsi="Arial" w:cs="Arial"/>
          <w:lang w:val="en"/>
        </w:rPr>
        <w:t xml:space="preserve">obtained at the </w:t>
      </w:r>
      <w:r w:rsidR="009A4F2E">
        <w:rPr>
          <w:rFonts w:ascii="Arial" w:hAnsi="Arial" w:cs="Arial"/>
          <w:lang w:val="en"/>
        </w:rPr>
        <w:t>above l</w:t>
      </w:r>
      <w:r w:rsidR="00741F2A">
        <w:rPr>
          <w:rFonts w:ascii="Arial" w:hAnsi="Arial" w:cs="Arial"/>
          <w:lang w:val="en"/>
        </w:rPr>
        <w:t>ink.</w:t>
      </w:r>
    </w:p>
    <w:p w14:paraId="048C97FA" w14:textId="20AF036D" w:rsidR="00EA15FC" w:rsidRDefault="00EA15FC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lang w:val="en"/>
        </w:rPr>
      </w:pPr>
    </w:p>
    <w:p w14:paraId="60FC7A47" w14:textId="1B62E8C7" w:rsidR="00EA15FC" w:rsidRDefault="00EA15FC" w:rsidP="0009614B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</w:rPr>
      </w:pPr>
      <w:r w:rsidRPr="005E2C21">
        <w:rPr>
          <w:rFonts w:ascii="Arial" w:hAnsi="Arial" w:cs="Arial"/>
        </w:rPr>
        <w:t xml:space="preserve">The </w:t>
      </w:r>
      <w:hyperlink r:id="rId10" w:history="1">
        <w:r w:rsidRPr="005E2C21">
          <w:rPr>
            <w:rStyle w:val="Hyperlink"/>
            <w:rFonts w:ascii="Arial" w:hAnsi="Arial" w:cs="Arial"/>
            <w:b/>
            <w:bCs/>
          </w:rPr>
          <w:t>New Jersey Register – Free Public Access</w:t>
        </w:r>
      </w:hyperlink>
      <w:r w:rsidRPr="005E2C21">
        <w:rPr>
          <w:rFonts w:ascii="Arial" w:hAnsi="Arial" w:cs="Arial"/>
          <w:b/>
          <w:bCs/>
        </w:rPr>
        <w:t xml:space="preserve"> </w:t>
      </w:r>
      <w:r w:rsidRPr="005E2C21">
        <w:rPr>
          <w:rFonts w:ascii="Arial" w:hAnsi="Arial" w:cs="Arial"/>
        </w:rPr>
        <w:t>website is maintained by LexisNexis®, the publisher of the </w:t>
      </w:r>
      <w:r w:rsidRPr="006E3B6F">
        <w:rPr>
          <w:rFonts w:ascii="Arial" w:hAnsi="Arial" w:cs="Arial"/>
          <w:b/>
          <w:bCs/>
          <w:color w:val="002060"/>
        </w:rPr>
        <w:t>New Jersey Administrative Code</w:t>
      </w:r>
      <w:r w:rsidRPr="005E2C21">
        <w:rPr>
          <w:rFonts w:ascii="Arial" w:hAnsi="Arial" w:cs="Arial"/>
        </w:rPr>
        <w:t>, and provides free public access to the</w:t>
      </w:r>
      <w:r>
        <w:rPr>
          <w:rFonts w:ascii="Arial" w:hAnsi="Arial" w:cs="Arial"/>
        </w:rPr>
        <w:t xml:space="preserve"> public health licensure rules set forth at N.J.A.C. 8:7, </w:t>
      </w:r>
      <w:r w:rsidRPr="00553E47">
        <w:rPr>
          <w:rFonts w:ascii="Arial" w:hAnsi="Arial" w:cs="Arial"/>
        </w:rPr>
        <w:t xml:space="preserve">Licensure </w:t>
      </w:r>
      <w:r>
        <w:rPr>
          <w:rFonts w:ascii="Arial" w:hAnsi="Arial" w:cs="Arial"/>
        </w:rPr>
        <w:t>o</w:t>
      </w:r>
      <w:r w:rsidRPr="00553E47">
        <w:rPr>
          <w:rFonts w:ascii="Arial" w:hAnsi="Arial" w:cs="Arial"/>
        </w:rPr>
        <w:t xml:space="preserve">f Persons </w:t>
      </w:r>
      <w:r>
        <w:rPr>
          <w:rFonts w:ascii="Arial" w:hAnsi="Arial" w:cs="Arial"/>
        </w:rPr>
        <w:t>f</w:t>
      </w:r>
      <w:r w:rsidRPr="00553E47">
        <w:rPr>
          <w:rFonts w:ascii="Arial" w:hAnsi="Arial" w:cs="Arial"/>
        </w:rPr>
        <w:t>or Public Health Positions</w:t>
      </w:r>
      <w:r w:rsidRPr="005E2C21">
        <w:rPr>
          <w:rFonts w:ascii="Arial" w:hAnsi="Arial" w:cs="Arial"/>
        </w:rPr>
        <w:t>.</w:t>
      </w:r>
    </w:p>
    <w:p w14:paraId="3C88DCAE" w14:textId="77777777" w:rsidR="0009614B" w:rsidRDefault="0009614B" w:rsidP="0009614B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</w:rPr>
      </w:pPr>
    </w:p>
    <w:p w14:paraId="3A0331F5" w14:textId="30A0A890" w:rsidR="002A2FFC" w:rsidRDefault="002A2FFC" w:rsidP="0009614B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</w:t>
      </w:r>
      <w:r>
        <w:rPr>
          <w:rFonts w:ascii="Arial" w:hAnsi="Arial" w:cs="Arial"/>
          <w:b/>
          <w:color w:val="002060"/>
          <w:sz w:val="24"/>
          <w:szCs w:val="24"/>
        </w:rPr>
        <w:t>S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ABOUT THE LICENSURE PROCESS</w:t>
      </w:r>
      <w:bookmarkStart w:id="9" w:name="_GoBack"/>
      <w:bookmarkEnd w:id="9"/>
    </w:p>
    <w:p w14:paraId="235FE9A2" w14:textId="77777777" w:rsidR="002A2FFC" w:rsidRPr="002A2FFC" w:rsidRDefault="002A2FFC" w:rsidP="002A2FFC">
      <w:p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14:paraId="1E157C87" w14:textId="06D86D2E" w:rsidR="00F65069" w:rsidRPr="005E2C21" w:rsidRDefault="00F65069" w:rsidP="00EA15FC">
      <w:pPr>
        <w:tabs>
          <w:tab w:val="left" w:pos="180"/>
        </w:tabs>
        <w:jc w:val="both"/>
        <w:rPr>
          <w:rFonts w:ascii="Arial" w:hAnsi="Arial" w:cs="Arial"/>
        </w:rPr>
      </w:pPr>
      <w:r w:rsidRPr="00F65069">
        <w:rPr>
          <w:rFonts w:ascii="Arial" w:hAnsi="Arial" w:cs="Arial"/>
        </w:rPr>
        <w:t>Contact</w:t>
      </w:r>
      <w:r>
        <w:rPr>
          <w:rFonts w:ascii="Arial" w:hAnsi="Arial" w:cs="Arial"/>
        </w:rPr>
        <w:t xml:space="preserve"> </w:t>
      </w:r>
      <w:r w:rsidR="002A2FFC">
        <w:rPr>
          <w:rFonts w:ascii="Arial" w:hAnsi="Arial" w:cs="Arial"/>
        </w:rPr>
        <w:t xml:space="preserve">NJDOH </w:t>
      </w:r>
      <w:r w:rsidRPr="00F65069">
        <w:rPr>
          <w:rFonts w:ascii="Arial" w:hAnsi="Arial" w:cs="Arial"/>
        </w:rPr>
        <w:t xml:space="preserve">OLPH’s Public Health Licensure Program at </w:t>
      </w:r>
      <w:hyperlink r:id="rId11" w:history="1">
        <w:r w:rsidRPr="00F65069">
          <w:rPr>
            <w:rStyle w:val="Hyperlink"/>
            <w:rFonts w:ascii="Arial" w:hAnsi="Arial" w:cs="Arial"/>
            <w:b/>
            <w:bCs/>
          </w:rPr>
          <w:t>OLPH.Licensure@doh.nj.gov</w:t>
        </w:r>
      </w:hyperlink>
      <w:r w:rsidRPr="00F65069">
        <w:rPr>
          <w:rFonts w:ascii="Arial" w:hAnsi="Arial" w:cs="Arial"/>
        </w:rPr>
        <w:t>.</w:t>
      </w:r>
    </w:p>
    <w:p w14:paraId="75232983" w14:textId="77777777" w:rsidR="00EA15FC" w:rsidRPr="00B345E9" w:rsidRDefault="00EA15FC" w:rsidP="00E300C4">
      <w:pPr>
        <w:pStyle w:val="ListParagraph"/>
        <w:tabs>
          <w:tab w:val="left" w:pos="180"/>
        </w:tabs>
        <w:spacing w:after="0" w:line="240" w:lineRule="auto"/>
        <w:ind w:left="0"/>
        <w:jc w:val="both"/>
        <w:rPr>
          <w:rFonts w:ascii="Arial" w:hAnsi="Arial" w:cs="Arial"/>
          <w:color w:val="333333"/>
          <w:lang w:val="en"/>
        </w:rPr>
      </w:pPr>
    </w:p>
    <w:sectPr w:rsidR="00EA15FC" w:rsidRPr="00B345E9" w:rsidSect="00423D6B">
      <w:footerReference w:type="default" r:id="rId12"/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45E9" w14:textId="77777777" w:rsidR="005D6680" w:rsidRDefault="005D6680" w:rsidP="00772E2F">
      <w:pPr>
        <w:spacing w:after="0" w:line="240" w:lineRule="auto"/>
      </w:pPr>
      <w:r>
        <w:separator/>
      </w:r>
    </w:p>
  </w:endnote>
  <w:endnote w:type="continuationSeparator" w:id="0">
    <w:p w14:paraId="62DD9B01" w14:textId="77777777" w:rsidR="005D6680" w:rsidRDefault="005D6680" w:rsidP="0077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70610562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A9DB8EA" w14:textId="5F5273A3" w:rsidR="00772E2F" w:rsidRPr="005E5BBB" w:rsidRDefault="00EA2418" w:rsidP="00EA2418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5E5BBB">
              <w:rPr>
                <w:rFonts w:ascii="Arial" w:hAnsi="Arial" w:cs="Arial"/>
                <w:sz w:val="16"/>
                <w:szCs w:val="16"/>
              </w:rPr>
              <w:t>NJDOH OLPH │</w:t>
            </w:r>
            <w:r w:rsidR="005E5BBB" w:rsidRPr="005E5BBB">
              <w:rPr>
                <w:rFonts w:ascii="Arial" w:hAnsi="Arial" w:cs="Arial"/>
                <w:sz w:val="16"/>
                <w:szCs w:val="16"/>
              </w:rPr>
              <w:t>Health Officer Examination │</w:t>
            </w:r>
            <w:r w:rsidRPr="005E5BBB">
              <w:rPr>
                <w:rFonts w:ascii="Arial" w:hAnsi="Arial" w:cs="Arial"/>
                <w:sz w:val="16"/>
                <w:szCs w:val="16"/>
              </w:rPr>
              <w:t>September 2020</w:t>
            </w:r>
            <w:r w:rsidR="005E5BBB">
              <w:rPr>
                <w:rFonts w:ascii="Arial" w:hAnsi="Arial" w:cs="Arial"/>
                <w:sz w:val="16"/>
                <w:szCs w:val="16"/>
              </w:rPr>
              <w:tab/>
            </w:r>
            <w:r w:rsidR="00AF572F" w:rsidRPr="005E5BBB">
              <w:rPr>
                <w:rFonts w:ascii="Arial" w:hAnsi="Arial" w:cs="Arial"/>
                <w:sz w:val="16"/>
                <w:szCs w:val="16"/>
              </w:rPr>
              <w:tab/>
            </w:r>
            <w:r w:rsidR="00772E2F" w:rsidRPr="005E5BBB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72E2F" w:rsidRPr="005E5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72E2F" w:rsidRPr="005E5BB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772E2F" w:rsidRPr="005E5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72E2F" w:rsidRPr="005E5B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772E2F" w:rsidRPr="005E5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72E2F" w:rsidRPr="005E5BBB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72E2F" w:rsidRPr="005E5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72E2F" w:rsidRPr="005E5BBB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772E2F" w:rsidRPr="005E5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72E2F" w:rsidRPr="005E5BB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772E2F" w:rsidRPr="005E5BB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6682EF" w14:textId="77777777" w:rsidR="00772E2F" w:rsidRDefault="0077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ABC" w14:textId="77777777" w:rsidR="005D6680" w:rsidRDefault="005D6680" w:rsidP="00772E2F">
      <w:pPr>
        <w:spacing w:after="0" w:line="240" w:lineRule="auto"/>
      </w:pPr>
      <w:r>
        <w:separator/>
      </w:r>
    </w:p>
  </w:footnote>
  <w:footnote w:type="continuationSeparator" w:id="0">
    <w:p w14:paraId="0B986F7C" w14:textId="77777777" w:rsidR="005D6680" w:rsidRDefault="005D6680" w:rsidP="00772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B504B"/>
    <w:multiLevelType w:val="hybridMultilevel"/>
    <w:tmpl w:val="3C74BD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83F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03403"/>
    <w:multiLevelType w:val="hybridMultilevel"/>
    <w:tmpl w:val="7F4C0060"/>
    <w:lvl w:ilvl="0" w:tplc="ADCA91CA">
      <w:start w:val="1"/>
      <w:numFmt w:val="decimal"/>
      <w:lvlText w:val="%1)"/>
      <w:lvlJc w:val="left"/>
      <w:pPr>
        <w:ind w:left="72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0DB61C6"/>
    <w:multiLevelType w:val="hybridMultilevel"/>
    <w:tmpl w:val="4EEAF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7A91"/>
    <w:multiLevelType w:val="multilevel"/>
    <w:tmpl w:val="B3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942EC"/>
    <w:multiLevelType w:val="hybridMultilevel"/>
    <w:tmpl w:val="BB8EB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A5E53"/>
    <w:multiLevelType w:val="multilevel"/>
    <w:tmpl w:val="B91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5D"/>
    <w:rsid w:val="000306C1"/>
    <w:rsid w:val="00045B21"/>
    <w:rsid w:val="00076B2A"/>
    <w:rsid w:val="00077ADB"/>
    <w:rsid w:val="0009614B"/>
    <w:rsid w:val="000B5090"/>
    <w:rsid w:val="000C59A0"/>
    <w:rsid w:val="000E6930"/>
    <w:rsid w:val="00107E05"/>
    <w:rsid w:val="001275E5"/>
    <w:rsid w:val="001A0E2A"/>
    <w:rsid w:val="001A7A9F"/>
    <w:rsid w:val="001C58D3"/>
    <w:rsid w:val="001D3FB5"/>
    <w:rsid w:val="001F092B"/>
    <w:rsid w:val="001F745C"/>
    <w:rsid w:val="001F7EAF"/>
    <w:rsid w:val="0020212B"/>
    <w:rsid w:val="0021068A"/>
    <w:rsid w:val="00236DBD"/>
    <w:rsid w:val="002631CF"/>
    <w:rsid w:val="0027016D"/>
    <w:rsid w:val="00273F37"/>
    <w:rsid w:val="00283BFF"/>
    <w:rsid w:val="002A2FFC"/>
    <w:rsid w:val="002A3146"/>
    <w:rsid w:val="002D1126"/>
    <w:rsid w:val="002D2DD9"/>
    <w:rsid w:val="002F72FA"/>
    <w:rsid w:val="00304C04"/>
    <w:rsid w:val="003225AC"/>
    <w:rsid w:val="003228ED"/>
    <w:rsid w:val="00327D30"/>
    <w:rsid w:val="00355B4D"/>
    <w:rsid w:val="0036786A"/>
    <w:rsid w:val="00374835"/>
    <w:rsid w:val="00385D2E"/>
    <w:rsid w:val="00391FCB"/>
    <w:rsid w:val="00395352"/>
    <w:rsid w:val="003C3D57"/>
    <w:rsid w:val="00407C22"/>
    <w:rsid w:val="00423D6B"/>
    <w:rsid w:val="00425CEB"/>
    <w:rsid w:val="00444C27"/>
    <w:rsid w:val="00484118"/>
    <w:rsid w:val="00491CCC"/>
    <w:rsid w:val="0049245D"/>
    <w:rsid w:val="004A1428"/>
    <w:rsid w:val="004C7BB8"/>
    <w:rsid w:val="004E0333"/>
    <w:rsid w:val="004F3FB6"/>
    <w:rsid w:val="005025E3"/>
    <w:rsid w:val="00503904"/>
    <w:rsid w:val="00506112"/>
    <w:rsid w:val="0052359E"/>
    <w:rsid w:val="00526075"/>
    <w:rsid w:val="005A1B31"/>
    <w:rsid w:val="005B27A1"/>
    <w:rsid w:val="005D5B67"/>
    <w:rsid w:val="005D6680"/>
    <w:rsid w:val="005E02F7"/>
    <w:rsid w:val="005E5BBB"/>
    <w:rsid w:val="005E63A0"/>
    <w:rsid w:val="006123BF"/>
    <w:rsid w:val="006349EF"/>
    <w:rsid w:val="00660C98"/>
    <w:rsid w:val="0068634C"/>
    <w:rsid w:val="00690996"/>
    <w:rsid w:val="006A6058"/>
    <w:rsid w:val="006D26A1"/>
    <w:rsid w:val="006E3B6F"/>
    <w:rsid w:val="00715469"/>
    <w:rsid w:val="0073022D"/>
    <w:rsid w:val="00732E43"/>
    <w:rsid w:val="00741F2A"/>
    <w:rsid w:val="007617B8"/>
    <w:rsid w:val="00772E2F"/>
    <w:rsid w:val="00810E85"/>
    <w:rsid w:val="0081585E"/>
    <w:rsid w:val="0082311C"/>
    <w:rsid w:val="00836D27"/>
    <w:rsid w:val="00840629"/>
    <w:rsid w:val="00871D39"/>
    <w:rsid w:val="008A182A"/>
    <w:rsid w:val="008B63D1"/>
    <w:rsid w:val="008C1B9C"/>
    <w:rsid w:val="008C4E32"/>
    <w:rsid w:val="008F1E96"/>
    <w:rsid w:val="008F421C"/>
    <w:rsid w:val="008F4B1D"/>
    <w:rsid w:val="008F6E12"/>
    <w:rsid w:val="00920217"/>
    <w:rsid w:val="00934BB3"/>
    <w:rsid w:val="0093648D"/>
    <w:rsid w:val="00952CB6"/>
    <w:rsid w:val="00961FE7"/>
    <w:rsid w:val="009739BB"/>
    <w:rsid w:val="00977013"/>
    <w:rsid w:val="0098477D"/>
    <w:rsid w:val="009849EF"/>
    <w:rsid w:val="009A221A"/>
    <w:rsid w:val="009A4F2E"/>
    <w:rsid w:val="009B30F1"/>
    <w:rsid w:val="009D3BBD"/>
    <w:rsid w:val="00A22519"/>
    <w:rsid w:val="00A31D79"/>
    <w:rsid w:val="00A512B8"/>
    <w:rsid w:val="00A632C2"/>
    <w:rsid w:val="00A757D7"/>
    <w:rsid w:val="00A86A67"/>
    <w:rsid w:val="00A96F70"/>
    <w:rsid w:val="00AC30F8"/>
    <w:rsid w:val="00AE3AA8"/>
    <w:rsid w:val="00AF572F"/>
    <w:rsid w:val="00B23F13"/>
    <w:rsid w:val="00B345E9"/>
    <w:rsid w:val="00B37883"/>
    <w:rsid w:val="00B46B5D"/>
    <w:rsid w:val="00B53653"/>
    <w:rsid w:val="00BE1A14"/>
    <w:rsid w:val="00BE3E74"/>
    <w:rsid w:val="00C04B54"/>
    <w:rsid w:val="00C328DC"/>
    <w:rsid w:val="00C671C1"/>
    <w:rsid w:val="00C874D9"/>
    <w:rsid w:val="00C87F9C"/>
    <w:rsid w:val="00CA2593"/>
    <w:rsid w:val="00D15DF5"/>
    <w:rsid w:val="00D664E4"/>
    <w:rsid w:val="00D7785D"/>
    <w:rsid w:val="00D8411B"/>
    <w:rsid w:val="00DA20B3"/>
    <w:rsid w:val="00DE2B05"/>
    <w:rsid w:val="00DF346E"/>
    <w:rsid w:val="00E063B4"/>
    <w:rsid w:val="00E1500C"/>
    <w:rsid w:val="00E15DCC"/>
    <w:rsid w:val="00E300C4"/>
    <w:rsid w:val="00E31F83"/>
    <w:rsid w:val="00E338B6"/>
    <w:rsid w:val="00E44C19"/>
    <w:rsid w:val="00E47B78"/>
    <w:rsid w:val="00E525E6"/>
    <w:rsid w:val="00E674E0"/>
    <w:rsid w:val="00E83025"/>
    <w:rsid w:val="00EA15FC"/>
    <w:rsid w:val="00EA2418"/>
    <w:rsid w:val="00EB0A00"/>
    <w:rsid w:val="00EB61DA"/>
    <w:rsid w:val="00ED2F97"/>
    <w:rsid w:val="00F107C2"/>
    <w:rsid w:val="00F20823"/>
    <w:rsid w:val="00F23F69"/>
    <w:rsid w:val="00F30795"/>
    <w:rsid w:val="00F37128"/>
    <w:rsid w:val="00F40199"/>
    <w:rsid w:val="00F65069"/>
    <w:rsid w:val="00F71C93"/>
    <w:rsid w:val="00F77A63"/>
    <w:rsid w:val="00FD5ECE"/>
    <w:rsid w:val="00FE2DC6"/>
    <w:rsid w:val="00FE6077"/>
    <w:rsid w:val="00FF1039"/>
    <w:rsid w:val="259BE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FE91"/>
  <w15:chartTrackingRefBased/>
  <w15:docId w15:val="{EBC0CCFD-9165-43A2-A3B0-9B792FFF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1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671C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46B5D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B46B5D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rsid w:val="00B46B5D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46B5D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AC30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D2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60C9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71C1"/>
    <w:rPr>
      <w:rFonts w:ascii="inherit" w:eastAsia="Times New Roman" w:hAnsi="inherit" w:cs="Times New Roman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1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2F"/>
  </w:style>
  <w:style w:type="paragraph" w:styleId="Footer">
    <w:name w:val="footer"/>
    <w:basedOn w:val="Normal"/>
    <w:link w:val="FooterChar"/>
    <w:uiPriority w:val="99"/>
    <w:unhideWhenUsed/>
    <w:rsid w:val="0077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98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E52.E4CF08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PH.Licensure@doh.nj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dvance.lexis.com/container?config=00JAA5OTY5MTdjZi1lMzYxLTQxNTEtOWFkNi0xMmU5ZTViODQ2M2MKAFBvZENhdGFsb2coFSYEAfv22IKqMT9DIH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gov/health/lh/professionals/licens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1118</Words>
  <Characters>6466</Characters>
  <Application>Microsoft Office Word</Application>
  <DocSecurity>0</DocSecurity>
  <Lines>115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https://www.nj.gov/health/lh/professionals/licensing/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Cynthia M</dc:creator>
  <cp:keywords/>
  <dc:description/>
  <cp:lastModifiedBy>Limerick, Corynna</cp:lastModifiedBy>
  <cp:revision>30</cp:revision>
  <cp:lastPrinted>2020-09-16T13:24:00Z</cp:lastPrinted>
  <dcterms:created xsi:type="dcterms:W3CDTF">2020-09-16T13:15:00Z</dcterms:created>
  <dcterms:modified xsi:type="dcterms:W3CDTF">2020-09-16T16:44:00Z</dcterms:modified>
</cp:coreProperties>
</file>